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FBD26" w14:textId="55E16B83" w:rsidR="00CA794F" w:rsidRPr="00BE33D2" w:rsidRDefault="00ED6ACB" w:rsidP="00821C94">
      <w:pPr>
        <w:shd w:val="clear" w:color="auto" w:fill="FFFFFF"/>
        <w:tabs>
          <w:tab w:val="right" w:pos="8789"/>
        </w:tabs>
        <w:spacing w:after="0" w:line="240" w:lineRule="auto"/>
        <w:outlineLvl w:val="1"/>
        <w:rPr>
          <w:rFonts w:eastAsia="Times New Roman" w:cs="Calibri"/>
          <w:b/>
          <w:bCs/>
          <w:color w:val="008000"/>
          <w:kern w:val="0"/>
          <w:sz w:val="48"/>
          <w:szCs w:val="48"/>
          <w:lang w:eastAsia="en-AU"/>
          <w14:ligatures w14:val="none"/>
        </w:rPr>
      </w:pPr>
      <w:r>
        <w:rPr>
          <w:rFonts w:eastAsia="Times New Roman" w:cs="Calibri"/>
          <w:b/>
          <w:bCs/>
          <w:color w:val="008000"/>
          <w:kern w:val="0"/>
          <w:sz w:val="48"/>
          <w:szCs w:val="48"/>
          <w:lang w:eastAsia="en-AU"/>
          <w14:ligatures w14:val="none"/>
        </w:rPr>
        <w:t>Reasonable Adjustment</w:t>
      </w:r>
      <w:r w:rsidR="00995A9E">
        <w:rPr>
          <w:rFonts w:eastAsia="Times New Roman" w:cs="Calibri"/>
          <w:b/>
          <w:bCs/>
          <w:color w:val="008000"/>
          <w:kern w:val="0"/>
          <w:sz w:val="48"/>
          <w:szCs w:val="48"/>
          <w:lang w:eastAsia="en-AU"/>
          <w14:ligatures w14:val="none"/>
        </w:rPr>
        <w:t xml:space="preserve"> and</w:t>
      </w:r>
      <w:r w:rsidR="005B6F67">
        <w:rPr>
          <w:rFonts w:eastAsia="Times New Roman" w:cs="Calibri"/>
          <w:b/>
          <w:bCs/>
          <w:color w:val="008000"/>
          <w:kern w:val="0"/>
          <w:sz w:val="48"/>
          <w:szCs w:val="48"/>
          <w:lang w:eastAsia="en-AU"/>
          <w14:ligatures w14:val="none"/>
        </w:rPr>
        <w:t xml:space="preserve"> </w:t>
      </w:r>
      <w:r w:rsidR="00995A9E">
        <w:rPr>
          <w:rFonts w:eastAsia="Times New Roman" w:cs="Calibri"/>
          <w:b/>
          <w:bCs/>
          <w:color w:val="008000"/>
          <w:kern w:val="0"/>
          <w:sz w:val="48"/>
          <w:szCs w:val="48"/>
          <w:lang w:eastAsia="en-AU"/>
          <w14:ligatures w14:val="none"/>
        </w:rPr>
        <w:t xml:space="preserve">Language, Literacy, Numeracy and Digital </w:t>
      </w:r>
      <w:r w:rsidR="007E537F">
        <w:rPr>
          <w:rFonts w:eastAsia="Times New Roman" w:cs="Calibri"/>
          <w:b/>
          <w:bCs/>
          <w:color w:val="008000"/>
          <w:kern w:val="0"/>
          <w:sz w:val="48"/>
          <w:szCs w:val="48"/>
          <w:lang w:eastAsia="en-AU"/>
          <w14:ligatures w14:val="none"/>
        </w:rPr>
        <w:t>Skills</w:t>
      </w:r>
      <w:r w:rsidR="00F239E6">
        <w:rPr>
          <w:rFonts w:eastAsia="Times New Roman" w:cs="Calibri"/>
          <w:b/>
          <w:bCs/>
          <w:color w:val="008000"/>
          <w:kern w:val="0"/>
          <w:sz w:val="48"/>
          <w:szCs w:val="48"/>
          <w:lang w:eastAsia="en-AU"/>
          <w14:ligatures w14:val="none"/>
        </w:rPr>
        <w:t xml:space="preserve"> </w:t>
      </w:r>
      <w:r>
        <w:rPr>
          <w:rFonts w:eastAsia="Times New Roman" w:cs="Calibri"/>
          <w:b/>
          <w:bCs/>
          <w:color w:val="008000"/>
          <w:kern w:val="0"/>
          <w:sz w:val="48"/>
          <w:szCs w:val="48"/>
          <w:lang w:eastAsia="en-AU"/>
          <w14:ligatures w14:val="none"/>
        </w:rPr>
        <w:t>Policy</w:t>
      </w:r>
    </w:p>
    <w:p w14:paraId="7A46BB42" w14:textId="2FDCFC19" w:rsidR="00BE33D2" w:rsidRDefault="00BE33D2" w:rsidP="00821C94">
      <w:pPr>
        <w:shd w:val="clear" w:color="auto" w:fill="FFFFFF"/>
        <w:spacing w:after="0" w:line="240" w:lineRule="auto"/>
        <w:outlineLvl w:val="1"/>
        <w:rPr>
          <w:rFonts w:eastAsia="Times New Roman" w:cs="Calibri"/>
          <w:kern w:val="0"/>
          <w:szCs w:val="24"/>
          <w:lang w:eastAsia="en-AU"/>
          <w14:ligatures w14:val="none"/>
        </w:rPr>
      </w:pPr>
      <w:r>
        <w:rPr>
          <w:rFonts w:eastAsia="Times New Roman" w:cs="Calibri"/>
          <w:kern w:val="0"/>
          <w:szCs w:val="24"/>
          <w:lang w:eastAsia="en-AU"/>
          <w14:ligatures w14:val="none"/>
        </w:rPr>
        <w:t>Document ID:</w:t>
      </w:r>
      <w:r w:rsidR="00596673">
        <w:rPr>
          <w:rFonts w:eastAsia="Times New Roman" w:cs="Calibri"/>
          <w:kern w:val="0"/>
          <w:szCs w:val="24"/>
          <w:lang w:eastAsia="en-AU"/>
          <w14:ligatures w14:val="none"/>
        </w:rPr>
        <w:t xml:space="preserve"> </w:t>
      </w:r>
      <w:r w:rsidR="00ED6ACB">
        <w:rPr>
          <w:rFonts w:eastAsia="Times New Roman" w:cs="Calibri"/>
          <w:kern w:val="0"/>
          <w:szCs w:val="24"/>
          <w:lang w:eastAsia="en-AU"/>
          <w14:ligatures w14:val="none"/>
        </w:rPr>
        <w:t>REAP</w:t>
      </w:r>
    </w:p>
    <w:p w14:paraId="74096ABF" w14:textId="55C04738" w:rsidR="00CA794F" w:rsidRDefault="00CA794F" w:rsidP="00821C94">
      <w:pPr>
        <w:shd w:val="clear" w:color="auto" w:fill="FFFFFF"/>
        <w:spacing w:after="0" w:line="240" w:lineRule="auto"/>
        <w:outlineLvl w:val="1"/>
        <w:rPr>
          <w:rFonts w:eastAsia="Times New Roman" w:cs="Calibri"/>
          <w:kern w:val="0"/>
          <w:szCs w:val="24"/>
          <w:lang w:eastAsia="en-AU"/>
          <w14:ligatures w14:val="none"/>
        </w:rPr>
      </w:pPr>
      <w:r w:rsidRPr="00CA794F">
        <w:rPr>
          <w:rFonts w:eastAsia="Times New Roman" w:cs="Calibri"/>
          <w:kern w:val="0"/>
          <w:szCs w:val="24"/>
          <w:lang w:eastAsia="en-AU"/>
          <w14:ligatures w14:val="none"/>
        </w:rPr>
        <w:t>Approve</w:t>
      </w:r>
      <w:r>
        <w:rPr>
          <w:rFonts w:eastAsia="Times New Roman" w:cs="Calibri"/>
          <w:kern w:val="0"/>
          <w:szCs w:val="24"/>
          <w:lang w:eastAsia="en-AU"/>
          <w14:ligatures w14:val="none"/>
        </w:rPr>
        <w:t xml:space="preserve">d by: </w:t>
      </w:r>
      <w:r w:rsidR="00ED6ACB">
        <w:rPr>
          <w:rFonts w:eastAsia="Times New Roman" w:cs="Calibri"/>
          <w:kern w:val="0"/>
          <w:szCs w:val="24"/>
          <w:lang w:eastAsia="en-AU"/>
          <w14:ligatures w14:val="none"/>
        </w:rPr>
        <w:t xml:space="preserve">Director of Equity </w:t>
      </w:r>
    </w:p>
    <w:p w14:paraId="2C245D14" w14:textId="529AB6F6" w:rsidR="00CA794F" w:rsidRDefault="00CA794F" w:rsidP="00821C94">
      <w:pPr>
        <w:shd w:val="clear" w:color="auto" w:fill="FFFFFF"/>
        <w:spacing w:after="0" w:line="240" w:lineRule="auto"/>
        <w:jc w:val="both"/>
        <w:outlineLvl w:val="1"/>
        <w:rPr>
          <w:rFonts w:eastAsia="Times New Roman" w:cs="Calibri"/>
          <w:kern w:val="0"/>
          <w:szCs w:val="24"/>
          <w:lang w:eastAsia="en-AU"/>
          <w14:ligatures w14:val="none"/>
        </w:rPr>
      </w:pPr>
      <w:r>
        <w:rPr>
          <w:rFonts w:eastAsia="Times New Roman" w:cs="Calibri"/>
          <w:kern w:val="0"/>
          <w:szCs w:val="24"/>
          <w:lang w:eastAsia="en-AU"/>
          <w14:ligatures w14:val="none"/>
        </w:rPr>
        <w:t xml:space="preserve">Approval Date: </w:t>
      </w:r>
      <w:r w:rsidR="00ED6ACB">
        <w:rPr>
          <w:rFonts w:eastAsia="Times New Roman" w:cs="Calibri"/>
          <w:kern w:val="0"/>
          <w:szCs w:val="24"/>
          <w:lang w:eastAsia="en-AU"/>
          <w14:ligatures w14:val="none"/>
        </w:rPr>
        <w:t>07</w:t>
      </w:r>
      <w:r w:rsidR="00765A48">
        <w:rPr>
          <w:rFonts w:eastAsia="Times New Roman" w:cs="Calibri"/>
          <w:kern w:val="0"/>
          <w:szCs w:val="24"/>
          <w:lang w:eastAsia="en-AU"/>
          <w14:ligatures w14:val="none"/>
        </w:rPr>
        <w:t>.03.</w:t>
      </w:r>
      <w:r>
        <w:rPr>
          <w:rFonts w:eastAsia="Times New Roman" w:cs="Calibri"/>
          <w:kern w:val="0"/>
          <w:szCs w:val="24"/>
          <w:lang w:eastAsia="en-AU"/>
          <w14:ligatures w14:val="none"/>
        </w:rPr>
        <w:t>2017</w:t>
      </w:r>
    </w:p>
    <w:p w14:paraId="2F35498F" w14:textId="2E6C1AA8" w:rsidR="002847AA" w:rsidRDefault="00C32CE3" w:rsidP="002847AA">
      <w:pPr>
        <w:shd w:val="clear" w:color="auto" w:fill="FFFFFF"/>
        <w:spacing w:after="0" w:line="240" w:lineRule="auto"/>
        <w:rPr>
          <w:rFonts w:eastAsia="Times New Roman" w:cs="Calibri"/>
          <w:kern w:val="0"/>
          <w:szCs w:val="24"/>
          <w:lang w:eastAsia="en-AU"/>
          <w14:ligatures w14:val="none"/>
        </w:rPr>
      </w:pPr>
      <w:r>
        <w:rPr>
          <w:rFonts w:eastAsia="Times New Roman" w:cs="Calibri"/>
          <w:kern w:val="0"/>
          <w:szCs w:val="24"/>
          <w:lang w:eastAsia="en-AU"/>
          <w14:ligatures w14:val="none"/>
        </w:rPr>
        <w:br/>
      </w:r>
      <w:r w:rsidR="002847AA">
        <w:rPr>
          <w:rFonts w:eastAsia="Times New Roman" w:cs="Calibri"/>
          <w:kern w:val="0"/>
          <w:szCs w:val="24"/>
          <w:lang w:eastAsia="en-AU"/>
          <w14:ligatures w14:val="none"/>
        </w:rPr>
        <w:t xml:space="preserve">This policy meets </w:t>
      </w:r>
      <w:r w:rsidR="002847AA" w:rsidRPr="0040614D">
        <w:rPr>
          <w:rFonts w:eastAsia="Times New Roman" w:cs="Calibri"/>
          <w:b/>
          <w:bCs/>
          <w:kern w:val="0"/>
          <w:szCs w:val="24"/>
          <w:lang w:eastAsia="en-AU"/>
          <w14:ligatures w14:val="none"/>
        </w:rPr>
        <w:t>The Standards for R</w:t>
      </w:r>
      <w:r w:rsidRPr="0040614D">
        <w:rPr>
          <w:rFonts w:eastAsia="Times New Roman" w:cs="Calibri"/>
          <w:b/>
          <w:bCs/>
          <w:kern w:val="0"/>
          <w:szCs w:val="24"/>
          <w:lang w:eastAsia="en-AU"/>
          <w14:ligatures w14:val="none"/>
        </w:rPr>
        <w:t>egistered Training Organisations (RTOs)</w:t>
      </w:r>
      <w:r w:rsidR="002847AA" w:rsidRPr="0040614D">
        <w:rPr>
          <w:rFonts w:eastAsia="Times New Roman" w:cs="Calibri"/>
          <w:b/>
          <w:bCs/>
          <w:kern w:val="0"/>
          <w:szCs w:val="24"/>
          <w:lang w:eastAsia="en-AU"/>
          <w14:ligatures w14:val="none"/>
        </w:rPr>
        <w:t xml:space="preserve"> 2015</w:t>
      </w:r>
      <w:r w:rsidR="002847AA">
        <w:rPr>
          <w:rFonts w:eastAsia="Times New Roman" w:cs="Calibri"/>
          <w:kern w:val="0"/>
          <w:szCs w:val="24"/>
          <w:lang w:eastAsia="en-AU"/>
          <w14:ligatures w14:val="none"/>
        </w:rPr>
        <w:t>:</w:t>
      </w:r>
      <w:r>
        <w:rPr>
          <w:rFonts w:eastAsia="Times New Roman" w:cs="Calibri"/>
          <w:kern w:val="0"/>
          <w:szCs w:val="24"/>
          <w:lang w:eastAsia="en-AU"/>
          <w14:ligatures w14:val="none"/>
        </w:rPr>
        <w:br/>
      </w:r>
    </w:p>
    <w:p w14:paraId="7CACC8FA" w14:textId="6DBDB053" w:rsidR="00CA794F" w:rsidRPr="00CA794F" w:rsidRDefault="007E5998" w:rsidP="002847AA">
      <w:pPr>
        <w:shd w:val="clear" w:color="auto" w:fill="FFFFFF"/>
        <w:tabs>
          <w:tab w:val="right" w:pos="8789"/>
        </w:tabs>
        <w:spacing w:after="0" w:line="240" w:lineRule="auto"/>
        <w:outlineLvl w:val="1"/>
        <w:rPr>
          <w:rFonts w:eastAsia="Times New Roman" w:cs="Calibri"/>
          <w:kern w:val="0"/>
          <w:szCs w:val="24"/>
          <w:lang w:eastAsia="en-AU"/>
          <w14:ligatures w14:val="none"/>
        </w:rPr>
      </w:pPr>
      <w:r>
        <w:rPr>
          <w:rFonts w:eastAsia="Times New Roman" w:cs="Calibri"/>
          <w:b/>
          <w:bCs/>
          <w:kern w:val="0"/>
          <w:szCs w:val="24"/>
          <w:lang w:eastAsia="en-AU"/>
          <w14:ligatures w14:val="none"/>
        </w:rPr>
        <w:t>Sta</w:t>
      </w:r>
      <w:r w:rsidR="00241EF3">
        <w:rPr>
          <w:rFonts w:eastAsia="Times New Roman" w:cs="Calibri"/>
          <w:b/>
          <w:bCs/>
          <w:kern w:val="0"/>
          <w:szCs w:val="24"/>
          <w:lang w:eastAsia="en-AU"/>
          <w14:ligatures w14:val="none"/>
        </w:rPr>
        <w:t>ndard 1</w:t>
      </w:r>
      <w:r w:rsidR="003F327F">
        <w:rPr>
          <w:rFonts w:eastAsia="Times New Roman" w:cs="Calibri"/>
          <w:b/>
          <w:bCs/>
          <w:kern w:val="0"/>
          <w:szCs w:val="24"/>
          <w:lang w:eastAsia="en-AU"/>
          <w14:ligatures w14:val="none"/>
        </w:rPr>
        <w:t xml:space="preserve"> </w:t>
      </w:r>
      <w:r w:rsidR="003F327F" w:rsidRPr="003F327F">
        <w:rPr>
          <w:rFonts w:eastAsia="Times New Roman" w:cs="Calibri"/>
          <w:kern w:val="0"/>
          <w:szCs w:val="24"/>
          <w:lang w:eastAsia="en-AU"/>
          <w14:ligatures w14:val="none"/>
        </w:rPr>
        <w:t>The RTO’s training and assessment strategies and practices are responsive to industry and learner needs and meet the requirements of training packages and VET accredited courses</w:t>
      </w:r>
      <w:r>
        <w:rPr>
          <w:rFonts w:eastAsia="Times New Roman" w:cs="Calibri"/>
          <w:b/>
          <w:bCs/>
          <w:kern w:val="0"/>
          <w:szCs w:val="24"/>
          <w:lang w:eastAsia="en-AU"/>
          <w14:ligatures w14:val="none"/>
        </w:rPr>
        <w:br/>
      </w:r>
      <w:r w:rsidR="0018791D">
        <w:rPr>
          <w:rFonts w:eastAsia="Times New Roman" w:cs="Calibri"/>
          <w:b/>
          <w:bCs/>
          <w:kern w:val="0"/>
          <w:szCs w:val="24"/>
          <w:lang w:eastAsia="en-AU"/>
          <w14:ligatures w14:val="none"/>
        </w:rPr>
        <w:t xml:space="preserve">Clause 1.7 </w:t>
      </w:r>
      <w:r w:rsidR="0018791D" w:rsidRPr="0018791D">
        <w:rPr>
          <w:rFonts w:eastAsia="Times New Roman" w:cs="Calibri"/>
          <w:kern w:val="0"/>
          <w:szCs w:val="24"/>
          <w:lang w:eastAsia="en-AU"/>
          <w14:ligatures w14:val="none"/>
        </w:rPr>
        <w:t>Learner Support</w:t>
      </w:r>
      <w:r w:rsidR="0018791D">
        <w:rPr>
          <w:rFonts w:eastAsia="Times New Roman" w:cs="Calibri"/>
          <w:b/>
          <w:bCs/>
          <w:kern w:val="0"/>
          <w:szCs w:val="24"/>
          <w:lang w:eastAsia="en-AU"/>
          <w14:ligatures w14:val="none"/>
        </w:rPr>
        <w:br/>
      </w:r>
      <w:r w:rsidR="002847AA" w:rsidRPr="0069282F">
        <w:rPr>
          <w:rFonts w:eastAsia="Times New Roman" w:cs="Calibri"/>
          <w:b/>
          <w:bCs/>
          <w:kern w:val="0"/>
          <w:szCs w:val="24"/>
          <w:lang w:eastAsia="en-AU"/>
          <w14:ligatures w14:val="none"/>
        </w:rPr>
        <w:t>Clause</w:t>
      </w:r>
      <w:r w:rsidR="00412C12">
        <w:rPr>
          <w:rFonts w:eastAsia="Times New Roman" w:cs="Calibri"/>
          <w:b/>
          <w:bCs/>
          <w:kern w:val="0"/>
          <w:szCs w:val="24"/>
          <w:lang w:eastAsia="en-AU"/>
          <w14:ligatures w14:val="none"/>
        </w:rPr>
        <w:t>s</w:t>
      </w:r>
      <w:r w:rsidR="002847AA" w:rsidRPr="0069282F">
        <w:rPr>
          <w:rFonts w:eastAsia="Times New Roman" w:cs="Calibri"/>
          <w:b/>
          <w:bCs/>
          <w:kern w:val="0"/>
          <w:szCs w:val="24"/>
          <w:lang w:eastAsia="en-AU"/>
          <w14:ligatures w14:val="none"/>
        </w:rPr>
        <w:t xml:space="preserve"> </w:t>
      </w:r>
      <w:r w:rsidR="00E92C7C" w:rsidRPr="0069282F">
        <w:rPr>
          <w:rFonts w:eastAsia="Times New Roman" w:cs="Calibri"/>
          <w:b/>
          <w:bCs/>
          <w:kern w:val="0"/>
          <w:szCs w:val="24"/>
          <w:lang w:eastAsia="en-AU"/>
          <w14:ligatures w14:val="none"/>
        </w:rPr>
        <w:t>1.8</w:t>
      </w:r>
      <w:r w:rsidR="00412C12">
        <w:rPr>
          <w:rFonts w:eastAsia="Times New Roman" w:cs="Calibri"/>
          <w:b/>
          <w:bCs/>
          <w:kern w:val="0"/>
          <w:szCs w:val="24"/>
          <w:lang w:eastAsia="en-AU"/>
          <w14:ligatures w14:val="none"/>
        </w:rPr>
        <w:t xml:space="preserve"> to 1.</w:t>
      </w:r>
      <w:r w:rsidR="00203547">
        <w:rPr>
          <w:rFonts w:eastAsia="Times New Roman" w:cs="Calibri"/>
          <w:b/>
          <w:bCs/>
          <w:kern w:val="0"/>
          <w:szCs w:val="24"/>
          <w:lang w:eastAsia="en-AU"/>
          <w14:ligatures w14:val="none"/>
        </w:rPr>
        <w:t>2</w:t>
      </w:r>
      <w:r w:rsidR="008B422B">
        <w:rPr>
          <w:rFonts w:eastAsia="Times New Roman" w:cs="Calibri"/>
          <w:b/>
          <w:bCs/>
          <w:kern w:val="0"/>
          <w:szCs w:val="24"/>
          <w:lang w:eastAsia="en-AU"/>
          <w14:ligatures w14:val="none"/>
        </w:rPr>
        <w:t xml:space="preserve"> </w:t>
      </w:r>
      <w:r w:rsidR="00203547">
        <w:rPr>
          <w:rFonts w:eastAsia="Times New Roman" w:cs="Calibri"/>
          <w:kern w:val="0"/>
          <w:szCs w:val="24"/>
          <w:lang w:eastAsia="en-AU"/>
          <w14:ligatures w14:val="none"/>
        </w:rPr>
        <w:t>Conduct effective assessment</w:t>
      </w:r>
      <w:r w:rsidR="0029507B">
        <w:rPr>
          <w:rFonts w:eastAsia="Times New Roman" w:cs="Calibri"/>
          <w:kern w:val="0"/>
          <w:szCs w:val="24"/>
          <w:lang w:eastAsia="en-AU"/>
          <w14:ligatures w14:val="none"/>
        </w:rPr>
        <w:t xml:space="preserve"> </w:t>
      </w:r>
      <w:r w:rsidR="007467FD">
        <w:rPr>
          <w:rFonts w:eastAsia="Times New Roman" w:cs="Calibri"/>
          <w:kern w:val="0"/>
          <w:szCs w:val="24"/>
          <w:lang w:eastAsia="en-AU"/>
          <w14:ligatures w14:val="none"/>
        </w:rPr>
        <w:br/>
      </w:r>
      <w:r w:rsidR="007467FD" w:rsidRPr="00A95FDE">
        <w:rPr>
          <w:rFonts w:eastAsia="Times New Roman" w:cs="Calibri"/>
          <w:b/>
          <w:bCs/>
          <w:kern w:val="0"/>
          <w:szCs w:val="24"/>
          <w:lang w:eastAsia="en-AU"/>
          <w14:ligatures w14:val="none"/>
        </w:rPr>
        <w:t>Standard 4</w:t>
      </w:r>
      <w:r w:rsidR="007467FD">
        <w:rPr>
          <w:rFonts w:eastAsia="Times New Roman" w:cs="Calibri"/>
          <w:kern w:val="0"/>
          <w:szCs w:val="24"/>
          <w:lang w:eastAsia="en-AU"/>
          <w14:ligatures w14:val="none"/>
        </w:rPr>
        <w:t xml:space="preserve"> </w:t>
      </w:r>
      <w:r w:rsidR="00A95FDE" w:rsidRPr="00A95FDE">
        <w:rPr>
          <w:rFonts w:eastAsia="Times New Roman" w:cs="Calibri"/>
          <w:kern w:val="0"/>
          <w:szCs w:val="24"/>
          <w:lang w:eastAsia="en-AU"/>
          <w14:ligatures w14:val="none"/>
        </w:rPr>
        <w:t>Accurate and accessible information about an RTO, its services and performance is available to inform prospective and current learners and clients</w:t>
      </w:r>
      <w:r w:rsidR="00B419FD">
        <w:rPr>
          <w:rFonts w:eastAsia="Times New Roman" w:cs="Calibri"/>
          <w:kern w:val="0"/>
          <w:szCs w:val="24"/>
          <w:lang w:eastAsia="en-AU"/>
          <w14:ligatures w14:val="none"/>
        </w:rPr>
        <w:br/>
        <w:t xml:space="preserve">4.1 a) </w:t>
      </w:r>
      <w:r w:rsidR="007600B0" w:rsidRPr="007600B0">
        <w:rPr>
          <w:rFonts w:eastAsia="Times New Roman" w:cs="Calibri"/>
          <w:kern w:val="0"/>
          <w:szCs w:val="24"/>
          <w:lang w:eastAsia="en-AU"/>
          <w14:ligatures w14:val="none"/>
        </w:rPr>
        <w:t>accurately represents the services it provides</w:t>
      </w:r>
      <w:r w:rsidR="00DF4977">
        <w:rPr>
          <w:rFonts w:eastAsia="Times New Roman" w:cs="Calibri"/>
          <w:kern w:val="0"/>
          <w:szCs w:val="24"/>
          <w:lang w:eastAsia="en-AU"/>
          <w14:ligatures w14:val="none"/>
        </w:rPr>
        <w:br/>
      </w:r>
      <w:r w:rsidR="0096538B" w:rsidRPr="0096538B">
        <w:rPr>
          <w:rFonts w:eastAsia="Times New Roman" w:cs="Calibri"/>
          <w:b/>
          <w:bCs/>
          <w:kern w:val="0"/>
          <w:szCs w:val="24"/>
          <w:lang w:eastAsia="en-AU"/>
          <w14:ligatures w14:val="none"/>
        </w:rPr>
        <w:t>Standard 5</w:t>
      </w:r>
      <w:r w:rsidR="00173C57">
        <w:rPr>
          <w:rFonts w:eastAsia="Times New Roman" w:cs="Calibri"/>
          <w:b/>
          <w:bCs/>
          <w:kern w:val="0"/>
          <w:szCs w:val="24"/>
          <w:lang w:eastAsia="en-AU"/>
          <w14:ligatures w14:val="none"/>
        </w:rPr>
        <w:t xml:space="preserve"> </w:t>
      </w:r>
      <w:r w:rsidR="00173C57" w:rsidRPr="003F327F">
        <w:rPr>
          <w:rFonts w:eastAsia="Times New Roman" w:cs="Calibri"/>
          <w:kern w:val="0"/>
          <w:szCs w:val="24"/>
          <w:lang w:eastAsia="en-AU"/>
          <w14:ligatures w14:val="none"/>
        </w:rPr>
        <w:t>Each learner is properly informed and protected</w:t>
      </w:r>
      <w:r w:rsidR="007600B0">
        <w:rPr>
          <w:rFonts w:eastAsia="Times New Roman" w:cs="Calibri"/>
          <w:kern w:val="0"/>
          <w:szCs w:val="24"/>
          <w:lang w:eastAsia="en-AU"/>
          <w14:ligatures w14:val="none"/>
        </w:rPr>
        <w:br/>
      </w:r>
      <w:r w:rsidR="00DF4977">
        <w:rPr>
          <w:rFonts w:eastAsia="Times New Roman" w:cs="Calibri"/>
          <w:kern w:val="0"/>
          <w:szCs w:val="24"/>
          <w:lang w:eastAsia="en-AU"/>
          <w14:ligatures w14:val="none"/>
        </w:rPr>
        <w:t xml:space="preserve">5.1 </w:t>
      </w:r>
      <w:r w:rsidR="001E2727" w:rsidRPr="001E2727">
        <w:rPr>
          <w:rFonts w:eastAsia="Times New Roman" w:cs="Calibri"/>
          <w:kern w:val="0"/>
          <w:szCs w:val="24"/>
          <w:lang w:eastAsia="en-AU"/>
          <w14:ligatures w14:val="none"/>
        </w:rPr>
        <w:t>Prior to enrolment or the commencement of training and assessment</w:t>
      </w:r>
      <w:r w:rsidR="003D24CF">
        <w:rPr>
          <w:rFonts w:eastAsia="Times New Roman" w:cs="Calibri"/>
          <w:kern w:val="0"/>
          <w:szCs w:val="24"/>
          <w:lang w:eastAsia="en-AU"/>
          <w14:ligatures w14:val="none"/>
        </w:rPr>
        <w:t xml:space="preserve"> the RTO </w:t>
      </w:r>
      <w:r w:rsidR="003D24CF" w:rsidRPr="003D24CF">
        <w:rPr>
          <w:rFonts w:eastAsia="Times New Roman" w:cs="Calibri"/>
          <w:kern w:val="0"/>
          <w:szCs w:val="24"/>
          <w:lang w:eastAsia="en-AU"/>
          <w14:ligatures w14:val="none"/>
        </w:rPr>
        <w:t>provides advice to the prospective learner about the training product appropriate to meeting the learner’s needs, taking into account the individual’s existing skills and competencies.</w:t>
      </w:r>
    </w:p>
    <w:p w14:paraId="0B2D2CC3" w14:textId="44DB802D" w:rsidR="0062459E" w:rsidRDefault="00037EAE" w:rsidP="000F2AB7">
      <w:pPr>
        <w:pStyle w:val="Heading2"/>
        <w:rPr>
          <w:rFonts w:eastAsia="Times New Roman"/>
          <w:lang w:eastAsia="en-AU"/>
        </w:rPr>
      </w:pPr>
      <w:r w:rsidRPr="00F43402">
        <w:rPr>
          <w:rFonts w:eastAsia="Times New Roman"/>
          <w:lang w:eastAsia="en-AU"/>
        </w:rPr>
        <w:t xml:space="preserve">1  </w:t>
      </w:r>
      <w:r w:rsidR="00E34146">
        <w:rPr>
          <w:rFonts w:eastAsia="Times New Roman"/>
          <w:lang w:eastAsia="en-AU"/>
        </w:rPr>
        <w:t>Introduction</w:t>
      </w:r>
    </w:p>
    <w:p w14:paraId="4313F1F1" w14:textId="52528715" w:rsidR="00B24BBF" w:rsidRDefault="00722CF5" w:rsidP="009D075B">
      <w:pPr>
        <w:rPr>
          <w:lang w:eastAsia="en-AU"/>
        </w:rPr>
      </w:pPr>
      <w:r w:rsidRPr="00722CF5">
        <w:rPr>
          <w:lang w:eastAsia="en-AU"/>
        </w:rPr>
        <w:t>Under the Commonwealth Disability Discrimination Act 1992</w:t>
      </w:r>
      <w:r w:rsidR="004332EC">
        <w:rPr>
          <w:lang w:eastAsia="en-AU"/>
        </w:rPr>
        <w:t xml:space="preserve"> DDA</w:t>
      </w:r>
      <w:r w:rsidR="00961B9B">
        <w:rPr>
          <w:lang w:eastAsia="en-AU"/>
        </w:rPr>
        <w:t xml:space="preserve"> (Cwt</w:t>
      </w:r>
      <w:r w:rsidRPr="00722CF5">
        <w:rPr>
          <w:lang w:eastAsia="en-AU"/>
        </w:rPr>
        <w:t>) and the Disability Standards for Education 2005</w:t>
      </w:r>
      <w:r w:rsidR="00BA36AC">
        <w:rPr>
          <w:lang w:eastAsia="en-AU"/>
        </w:rPr>
        <w:t xml:space="preserve"> DSE</w:t>
      </w:r>
      <w:r w:rsidR="00961B9B">
        <w:rPr>
          <w:lang w:eastAsia="en-AU"/>
        </w:rPr>
        <w:t>,</w:t>
      </w:r>
      <w:r w:rsidRPr="00722CF5">
        <w:rPr>
          <w:lang w:eastAsia="en-AU"/>
        </w:rPr>
        <w:t xml:space="preserve"> </w:t>
      </w:r>
      <w:r>
        <w:rPr>
          <w:lang w:eastAsia="en-AU"/>
        </w:rPr>
        <w:t>Registered Training Organisation</w:t>
      </w:r>
      <w:r w:rsidR="00961B9B">
        <w:rPr>
          <w:lang w:eastAsia="en-AU"/>
        </w:rPr>
        <w:t>s</w:t>
      </w:r>
      <w:r>
        <w:rPr>
          <w:lang w:eastAsia="en-AU"/>
        </w:rPr>
        <w:t xml:space="preserve"> (RTOs)</w:t>
      </w:r>
      <w:r w:rsidRPr="00722CF5">
        <w:rPr>
          <w:lang w:eastAsia="en-AU"/>
        </w:rPr>
        <w:t xml:space="preserve"> are required to customise their services, including making reasonable </w:t>
      </w:r>
      <w:r w:rsidR="00C76F32">
        <w:rPr>
          <w:lang w:eastAsia="en-AU"/>
        </w:rPr>
        <w:t>adjustments</w:t>
      </w:r>
      <w:r w:rsidRPr="00722CF5">
        <w:rPr>
          <w:lang w:eastAsia="en-AU"/>
        </w:rPr>
        <w:t xml:space="preserve"> to learning and assessment strategies</w:t>
      </w:r>
      <w:r w:rsidR="004332EC">
        <w:rPr>
          <w:lang w:eastAsia="en-AU"/>
        </w:rPr>
        <w:t>, to facilitate the successful participation of people with disabilities in education, training,</w:t>
      </w:r>
      <w:r w:rsidRPr="00722CF5">
        <w:rPr>
          <w:lang w:eastAsia="en-AU"/>
        </w:rPr>
        <w:t xml:space="preserve"> and employment. </w:t>
      </w:r>
    </w:p>
    <w:p w14:paraId="71503714" w14:textId="11BF0D33" w:rsidR="00B24BBF" w:rsidRDefault="00442FDF" w:rsidP="009D075B">
      <w:pPr>
        <w:rPr>
          <w:lang w:eastAsia="en-AU"/>
        </w:rPr>
      </w:pPr>
      <w:r w:rsidRPr="00442FDF">
        <w:rPr>
          <w:lang w:eastAsia="en-AU"/>
        </w:rPr>
        <w:t xml:space="preserve">Reasonable adjustments are practical changes to education and training designed to allow </w:t>
      </w:r>
      <w:r w:rsidR="00712EB8">
        <w:rPr>
          <w:lang w:eastAsia="en-AU"/>
        </w:rPr>
        <w:t>learner</w:t>
      </w:r>
      <w:r w:rsidRPr="00442FDF">
        <w:rPr>
          <w:lang w:eastAsia="en-AU"/>
        </w:rPr>
        <w:t xml:space="preserve">s with </w:t>
      </w:r>
      <w:r w:rsidR="00932DE3">
        <w:rPr>
          <w:lang w:eastAsia="en-AU"/>
        </w:rPr>
        <w:t xml:space="preserve">disabilities to access and participate on the same basis as </w:t>
      </w:r>
      <w:r w:rsidR="00712EB8">
        <w:rPr>
          <w:lang w:eastAsia="en-AU"/>
        </w:rPr>
        <w:t>learner</w:t>
      </w:r>
      <w:r w:rsidR="00932DE3">
        <w:rPr>
          <w:lang w:eastAsia="en-AU"/>
        </w:rPr>
        <w:t>s without disabilities</w:t>
      </w:r>
      <w:r w:rsidRPr="00442FDF">
        <w:rPr>
          <w:lang w:eastAsia="en-AU"/>
        </w:rPr>
        <w:t>.</w:t>
      </w:r>
    </w:p>
    <w:p w14:paraId="5C1679E8" w14:textId="4AD3B912" w:rsidR="009D075B" w:rsidRDefault="00722CF5" w:rsidP="009D075B">
      <w:pPr>
        <w:rPr>
          <w:lang w:eastAsia="en-AU"/>
        </w:rPr>
      </w:pPr>
      <w:r w:rsidRPr="00722CF5">
        <w:rPr>
          <w:lang w:eastAsia="en-AU"/>
        </w:rPr>
        <w:t xml:space="preserve">The goal is to ensure </w:t>
      </w:r>
      <w:r w:rsidR="00712EB8">
        <w:rPr>
          <w:lang w:eastAsia="en-AU"/>
        </w:rPr>
        <w:t>that all learners have the best learning opportunities and demonstrate that they have achieved unit requirements. Reasonable adjustments in assessment can be offered to learners under the key assessment principle of “fairness,” defined in the Standards for RTOs (2015). This principle</w:t>
      </w:r>
      <w:r w:rsidRPr="00722CF5">
        <w:rPr>
          <w:lang w:eastAsia="en-AU"/>
        </w:rPr>
        <w:t xml:space="preserve"> applies particularly to </w:t>
      </w:r>
      <w:r w:rsidR="00712EB8">
        <w:rPr>
          <w:lang w:eastAsia="en-AU"/>
        </w:rPr>
        <w:t>learner</w:t>
      </w:r>
      <w:r w:rsidRPr="00722CF5">
        <w:rPr>
          <w:lang w:eastAsia="en-AU"/>
        </w:rPr>
        <w:t>s with disabilities</w:t>
      </w:r>
      <w:r w:rsidR="00840E9A">
        <w:rPr>
          <w:lang w:eastAsia="en-AU"/>
        </w:rPr>
        <w:t>.</w:t>
      </w:r>
    </w:p>
    <w:p w14:paraId="3ED5F844" w14:textId="664899E6" w:rsidR="00840E9A" w:rsidRDefault="00A74D4B" w:rsidP="009D075B">
      <w:pPr>
        <w:rPr>
          <w:lang w:eastAsia="en-AU"/>
        </w:rPr>
      </w:pPr>
      <w:r w:rsidRPr="00A74D4B">
        <w:rPr>
          <w:lang w:eastAsia="en-AU"/>
        </w:rPr>
        <w:t xml:space="preserve">Universal Design for Learning (UDL) ensures equitable access to </w:t>
      </w:r>
      <w:r w:rsidR="003C5526">
        <w:rPr>
          <w:lang w:eastAsia="en-AU"/>
        </w:rPr>
        <w:t>training and assessment</w:t>
      </w:r>
      <w:r w:rsidRPr="00A74D4B">
        <w:rPr>
          <w:lang w:eastAsia="en-AU"/>
        </w:rPr>
        <w:t xml:space="preserve"> by providing multiple means of representation, engagement, and action </w:t>
      </w:r>
      <w:r w:rsidR="003C5526">
        <w:rPr>
          <w:lang w:eastAsia="en-AU"/>
        </w:rPr>
        <w:t xml:space="preserve">and </w:t>
      </w:r>
      <w:r w:rsidRPr="00A74D4B">
        <w:rPr>
          <w:lang w:eastAsia="en-AU"/>
        </w:rPr>
        <w:t xml:space="preserve">expression. This proactive approach removes barriers for </w:t>
      </w:r>
      <w:r w:rsidR="00712EB8">
        <w:rPr>
          <w:lang w:eastAsia="en-AU"/>
        </w:rPr>
        <w:t>learner</w:t>
      </w:r>
      <w:r w:rsidR="003C5526">
        <w:rPr>
          <w:lang w:eastAsia="en-AU"/>
        </w:rPr>
        <w:t>s</w:t>
      </w:r>
      <w:r w:rsidRPr="00A74D4B">
        <w:rPr>
          <w:lang w:eastAsia="en-AU"/>
        </w:rPr>
        <w:t xml:space="preserve"> with diverse needs, fostering a flexible and inclusive educational environment where all </w:t>
      </w:r>
      <w:r w:rsidR="00712EB8">
        <w:rPr>
          <w:lang w:eastAsia="en-AU"/>
        </w:rPr>
        <w:t>learner</w:t>
      </w:r>
      <w:r w:rsidRPr="00A74D4B">
        <w:rPr>
          <w:lang w:eastAsia="en-AU"/>
        </w:rPr>
        <w:t xml:space="preserve">s can </w:t>
      </w:r>
      <w:r w:rsidR="00F239E6">
        <w:rPr>
          <w:lang w:eastAsia="en-AU"/>
        </w:rPr>
        <w:t xml:space="preserve">participate in learning. </w:t>
      </w:r>
    </w:p>
    <w:p w14:paraId="5A3E8B79" w14:textId="5C3BDC22" w:rsidR="001C11C3" w:rsidRPr="009D075B" w:rsidRDefault="001C11C3" w:rsidP="009D075B">
      <w:pPr>
        <w:rPr>
          <w:lang w:eastAsia="en-AU"/>
        </w:rPr>
      </w:pPr>
      <w:r>
        <w:rPr>
          <w:lang w:eastAsia="en-AU"/>
        </w:rPr>
        <w:t xml:space="preserve">Language, </w:t>
      </w:r>
      <w:r w:rsidR="00712EB8">
        <w:rPr>
          <w:lang w:eastAsia="en-AU"/>
        </w:rPr>
        <w:t>Literacy, Numeracy, and Digital Skills (LLND) are the technical skills learners require to participate actively in education, work, and society</w:t>
      </w:r>
      <w:r w:rsidR="003E6AB0">
        <w:rPr>
          <w:lang w:eastAsia="en-AU"/>
        </w:rPr>
        <w:t xml:space="preserve">. </w:t>
      </w:r>
    </w:p>
    <w:p w14:paraId="6A8B1B4E" w14:textId="6A9E67A9" w:rsidR="00765A48" w:rsidRPr="000F2AB7" w:rsidRDefault="00765A48" w:rsidP="000F2AB7">
      <w:pPr>
        <w:pStyle w:val="Heading2"/>
      </w:pPr>
      <w:r w:rsidRPr="000F2AB7">
        <w:lastRenderedPageBreak/>
        <w:t xml:space="preserve">2 </w:t>
      </w:r>
      <w:r w:rsidR="00E34146" w:rsidRPr="000F2AB7">
        <w:t>Purpose</w:t>
      </w:r>
    </w:p>
    <w:p w14:paraId="003EB108" w14:textId="5BB446AD" w:rsidR="009C30A8" w:rsidRPr="009C30A8" w:rsidRDefault="009C30A8" w:rsidP="009C30A8">
      <w:pPr>
        <w:rPr>
          <w:rFonts w:eastAsia="Times New Roman" w:cs="Calibri"/>
          <w:color w:val="333333"/>
          <w:kern w:val="0"/>
          <w:szCs w:val="24"/>
          <w:lang w:eastAsia="en-AU"/>
          <w14:ligatures w14:val="none"/>
        </w:rPr>
      </w:pPr>
      <w:r w:rsidRPr="009C30A8">
        <w:rPr>
          <w:rFonts w:eastAsia="Times New Roman" w:cs="Calibri"/>
          <w:color w:val="333333"/>
          <w:kern w:val="0"/>
          <w:szCs w:val="24"/>
          <w:lang w:eastAsia="en-AU"/>
          <w14:ligatures w14:val="none"/>
        </w:rPr>
        <w:t xml:space="preserve">NTM is committed to providing </w:t>
      </w:r>
      <w:r w:rsidR="00712EB8">
        <w:rPr>
          <w:rFonts w:eastAsia="Times New Roman" w:cs="Calibri"/>
          <w:color w:val="333333"/>
          <w:kern w:val="0"/>
          <w:szCs w:val="24"/>
          <w:lang w:eastAsia="en-AU"/>
          <w14:ligatures w14:val="none"/>
        </w:rPr>
        <w:t>learner</w:t>
      </w:r>
      <w:r w:rsidRPr="009C30A8">
        <w:rPr>
          <w:rFonts w:eastAsia="Times New Roman" w:cs="Calibri"/>
          <w:color w:val="333333"/>
          <w:kern w:val="0"/>
          <w:szCs w:val="24"/>
          <w:lang w:eastAsia="en-AU"/>
          <w14:ligatures w14:val="none"/>
        </w:rPr>
        <w:t>s with disabilities and LLND</w:t>
      </w:r>
      <w:r w:rsidR="002F2A28">
        <w:rPr>
          <w:rFonts w:eastAsia="Times New Roman" w:cs="Calibri"/>
          <w:color w:val="333333"/>
          <w:kern w:val="0"/>
          <w:szCs w:val="24"/>
          <w:lang w:eastAsia="en-AU"/>
          <w14:ligatures w14:val="none"/>
        </w:rPr>
        <w:t xml:space="preserve"> issues</w:t>
      </w:r>
      <w:r w:rsidRPr="009C30A8">
        <w:rPr>
          <w:rFonts w:eastAsia="Times New Roman" w:cs="Calibri"/>
          <w:color w:val="333333"/>
          <w:kern w:val="0"/>
          <w:szCs w:val="24"/>
          <w:lang w:eastAsia="en-AU"/>
          <w14:ligatures w14:val="none"/>
        </w:rPr>
        <w:t xml:space="preserve"> equal access to learning opportunities.  We achieve this by</w:t>
      </w:r>
      <w:r w:rsidR="002F2A28">
        <w:rPr>
          <w:rFonts w:eastAsia="Times New Roman" w:cs="Calibri"/>
          <w:color w:val="333333"/>
          <w:kern w:val="0"/>
          <w:szCs w:val="24"/>
          <w:lang w:eastAsia="en-AU"/>
          <w14:ligatures w14:val="none"/>
        </w:rPr>
        <w:t xml:space="preserve"> e</w:t>
      </w:r>
      <w:r w:rsidRPr="009C30A8">
        <w:rPr>
          <w:rFonts w:eastAsia="Times New Roman" w:cs="Calibri"/>
          <w:color w:val="333333"/>
          <w:kern w:val="0"/>
          <w:szCs w:val="24"/>
          <w:lang w:eastAsia="en-AU"/>
          <w14:ligatures w14:val="none"/>
        </w:rPr>
        <w:t xml:space="preserve">nsuring assessments are designed and administered </w:t>
      </w:r>
      <w:r w:rsidR="00712EB8">
        <w:rPr>
          <w:rFonts w:eastAsia="Times New Roman" w:cs="Calibri"/>
          <w:color w:val="333333"/>
          <w:kern w:val="0"/>
          <w:szCs w:val="24"/>
          <w:lang w:eastAsia="en-AU"/>
          <w14:ligatures w14:val="none"/>
        </w:rPr>
        <w:t>to allow</w:t>
      </w:r>
      <w:r w:rsidRPr="009C30A8">
        <w:rPr>
          <w:rFonts w:eastAsia="Times New Roman" w:cs="Calibri"/>
          <w:color w:val="333333"/>
          <w:kern w:val="0"/>
          <w:szCs w:val="24"/>
          <w:lang w:eastAsia="en-AU"/>
          <w14:ligatures w14:val="none"/>
        </w:rPr>
        <w:t xml:space="preserve"> </w:t>
      </w:r>
      <w:r w:rsidR="00712EB8">
        <w:rPr>
          <w:rFonts w:eastAsia="Times New Roman" w:cs="Calibri"/>
          <w:color w:val="333333"/>
          <w:kern w:val="0"/>
          <w:szCs w:val="24"/>
          <w:lang w:eastAsia="en-AU"/>
          <w14:ligatures w14:val="none"/>
        </w:rPr>
        <w:t>learner</w:t>
      </w:r>
      <w:r w:rsidRPr="009C30A8">
        <w:rPr>
          <w:rFonts w:eastAsia="Times New Roman" w:cs="Calibri"/>
          <w:color w:val="333333"/>
          <w:kern w:val="0"/>
          <w:szCs w:val="24"/>
          <w:lang w:eastAsia="en-AU"/>
          <w14:ligatures w14:val="none"/>
        </w:rPr>
        <w:t>s with disabilities and LLND to demonstrate their knowledge and skills fairly.</w:t>
      </w:r>
    </w:p>
    <w:p w14:paraId="58CCADD2" w14:textId="64FF6EBF" w:rsidR="00420700" w:rsidRDefault="002F2A28" w:rsidP="009C30A8">
      <w:pPr>
        <w:rPr>
          <w:lang w:eastAsia="en-AU"/>
        </w:rPr>
      </w:pPr>
      <w:r>
        <w:rPr>
          <w:rFonts w:eastAsia="Times New Roman" w:cs="Calibri"/>
          <w:color w:val="333333"/>
          <w:kern w:val="0"/>
          <w:szCs w:val="24"/>
          <w:lang w:eastAsia="en-AU"/>
          <w14:ligatures w14:val="none"/>
        </w:rPr>
        <w:t>B</w:t>
      </w:r>
      <w:r w:rsidR="00E17F1A">
        <w:rPr>
          <w:rFonts w:eastAsia="Times New Roman" w:cs="Calibri"/>
          <w:color w:val="333333"/>
          <w:kern w:val="0"/>
          <w:szCs w:val="24"/>
          <w:lang w:eastAsia="en-AU"/>
          <w14:ligatures w14:val="none"/>
        </w:rPr>
        <w:t>y p</w:t>
      </w:r>
      <w:r w:rsidR="009C30A8" w:rsidRPr="009C30A8">
        <w:rPr>
          <w:rFonts w:eastAsia="Times New Roman" w:cs="Calibri"/>
          <w:color w:val="333333"/>
          <w:kern w:val="0"/>
          <w:szCs w:val="24"/>
          <w:lang w:eastAsia="en-AU"/>
          <w14:ligatures w14:val="none"/>
        </w:rPr>
        <w:t xml:space="preserve">roviding appropriate support services to help </w:t>
      </w:r>
      <w:r w:rsidR="00712EB8">
        <w:rPr>
          <w:rFonts w:eastAsia="Times New Roman" w:cs="Calibri"/>
          <w:color w:val="333333"/>
          <w:kern w:val="0"/>
          <w:szCs w:val="24"/>
          <w:lang w:eastAsia="en-AU"/>
          <w14:ligatures w14:val="none"/>
        </w:rPr>
        <w:t>learner</w:t>
      </w:r>
      <w:r w:rsidR="009C30A8" w:rsidRPr="009C30A8">
        <w:rPr>
          <w:rFonts w:eastAsia="Times New Roman" w:cs="Calibri"/>
          <w:color w:val="333333"/>
          <w:kern w:val="0"/>
          <w:szCs w:val="24"/>
          <w:lang w:eastAsia="en-AU"/>
          <w14:ligatures w14:val="none"/>
        </w:rPr>
        <w:t>s with disabilities and LLND reach their full potential in a supportive and inclusive learning environment.</w:t>
      </w:r>
      <w:r w:rsidR="00E17F1A">
        <w:rPr>
          <w:rFonts w:eastAsia="Times New Roman" w:cs="Calibri"/>
          <w:color w:val="333333"/>
          <w:kern w:val="0"/>
          <w:szCs w:val="24"/>
          <w:lang w:eastAsia="en-AU"/>
          <w14:ligatures w14:val="none"/>
        </w:rPr>
        <w:t xml:space="preserve"> </w:t>
      </w:r>
      <w:r w:rsidR="00420700">
        <w:rPr>
          <w:lang w:eastAsia="en-AU"/>
        </w:rPr>
        <w:t xml:space="preserve">NTM </w:t>
      </w:r>
      <w:r w:rsidR="00F22CB4">
        <w:rPr>
          <w:lang w:eastAsia="en-AU"/>
        </w:rPr>
        <w:t xml:space="preserve">provides reasonable </w:t>
      </w:r>
      <w:r w:rsidR="00C50993">
        <w:rPr>
          <w:lang w:eastAsia="en-AU"/>
        </w:rPr>
        <w:t>adjustments</w:t>
      </w:r>
      <w:r w:rsidR="001C11C3">
        <w:rPr>
          <w:lang w:eastAsia="en-AU"/>
        </w:rPr>
        <w:t>, LLND support</w:t>
      </w:r>
      <w:r w:rsidR="009B5336">
        <w:rPr>
          <w:lang w:eastAsia="en-AU"/>
        </w:rPr>
        <w:t xml:space="preserve"> and UDL</w:t>
      </w:r>
      <w:r w:rsidR="00F22CB4">
        <w:rPr>
          <w:lang w:eastAsia="en-AU"/>
        </w:rPr>
        <w:t xml:space="preserve"> in accordance with the following</w:t>
      </w:r>
      <w:r w:rsidR="00420700">
        <w:rPr>
          <w:lang w:eastAsia="en-AU"/>
        </w:rPr>
        <w:t>:</w:t>
      </w:r>
    </w:p>
    <w:p w14:paraId="316B47AB" w14:textId="1888C013" w:rsidR="00C50993" w:rsidRDefault="00C50993" w:rsidP="00C50993">
      <w:pPr>
        <w:rPr>
          <w:lang w:eastAsia="en-AU"/>
        </w:rPr>
      </w:pPr>
      <w:r w:rsidRPr="00C50993">
        <w:rPr>
          <w:lang w:eastAsia="en-AU"/>
        </w:rPr>
        <w:t>Disability Discrimination Act 1992</w:t>
      </w:r>
      <w:r>
        <w:rPr>
          <w:lang w:eastAsia="en-AU"/>
        </w:rPr>
        <w:br/>
      </w:r>
      <w:r w:rsidRPr="00C50993">
        <w:rPr>
          <w:lang w:eastAsia="en-AU"/>
        </w:rPr>
        <w:t>Disability Standards for Education 2005</w:t>
      </w:r>
      <w:r w:rsidR="00280BC3">
        <w:rPr>
          <w:lang w:eastAsia="en-AU"/>
        </w:rPr>
        <w:br/>
      </w:r>
      <w:hyperlink r:id="rId9" w:history="1">
        <w:r w:rsidR="00280BC3" w:rsidRPr="00412E6D">
          <w:rPr>
            <w:rStyle w:val="Hyperlink"/>
            <w:lang w:eastAsia="en-AU"/>
          </w:rPr>
          <w:t>Opening All Options</w:t>
        </w:r>
      </w:hyperlink>
      <w:r w:rsidR="00280BC3">
        <w:rPr>
          <w:lang w:eastAsia="en-AU"/>
        </w:rPr>
        <w:t xml:space="preserve"> </w:t>
      </w:r>
      <w:r>
        <w:rPr>
          <w:lang w:eastAsia="en-AU"/>
        </w:rPr>
        <w:br/>
      </w:r>
      <w:r w:rsidR="006B6D46" w:rsidRPr="006B6D46">
        <w:rPr>
          <w:lang w:eastAsia="en-AU"/>
        </w:rPr>
        <w:t>Australia’s Disability Strategy 2021-2031</w:t>
      </w:r>
      <w:r w:rsidR="00F032D8">
        <w:rPr>
          <w:lang w:eastAsia="en-AU"/>
        </w:rPr>
        <w:br/>
      </w:r>
      <w:r w:rsidR="00F032D8" w:rsidRPr="00F032D8">
        <w:rPr>
          <w:lang w:eastAsia="en-AU"/>
        </w:rPr>
        <w:t xml:space="preserve">Providing quality training and assessment services to </w:t>
      </w:r>
      <w:r w:rsidR="00712EB8">
        <w:rPr>
          <w:lang w:eastAsia="en-AU"/>
        </w:rPr>
        <w:t>learner</w:t>
      </w:r>
      <w:r w:rsidR="00F032D8" w:rsidRPr="00F032D8">
        <w:rPr>
          <w:lang w:eastAsia="en-AU"/>
        </w:rPr>
        <w:t>s with disabilities</w:t>
      </w:r>
      <w:r w:rsidR="00F032D8">
        <w:rPr>
          <w:lang w:eastAsia="en-AU"/>
        </w:rPr>
        <w:t xml:space="preserve"> – </w:t>
      </w:r>
      <w:r w:rsidR="00E17F1A">
        <w:rPr>
          <w:lang w:eastAsia="en-AU"/>
        </w:rPr>
        <w:t>Australian</w:t>
      </w:r>
      <w:r w:rsidR="00F032D8">
        <w:rPr>
          <w:lang w:eastAsia="en-AU"/>
        </w:rPr>
        <w:t xml:space="preserve"> Skills Quality Authority </w:t>
      </w:r>
      <w:r w:rsidR="00E17F1A">
        <w:rPr>
          <w:lang w:eastAsia="en-AU"/>
        </w:rPr>
        <w:t xml:space="preserve">Fact Sheet </w:t>
      </w:r>
      <w:r w:rsidR="006365E2">
        <w:rPr>
          <w:lang w:eastAsia="en-AU"/>
        </w:rPr>
        <w:br/>
        <w:t>Standards for Registered Training Organistions 2015</w:t>
      </w:r>
      <w:r w:rsidR="00870D34">
        <w:rPr>
          <w:lang w:eastAsia="en-AU"/>
        </w:rPr>
        <w:br/>
      </w:r>
      <w:r w:rsidR="00870D34" w:rsidRPr="00870D34">
        <w:rPr>
          <w:lang w:eastAsia="en-AU"/>
        </w:rPr>
        <w:t>Privacy Act 1988</w:t>
      </w:r>
      <w:r w:rsidR="00C664B7">
        <w:rPr>
          <w:lang w:eastAsia="en-AU"/>
        </w:rPr>
        <w:br/>
        <w:t>National Foundation Skills Strategy</w:t>
      </w:r>
      <w:r w:rsidR="00485E28">
        <w:rPr>
          <w:lang w:eastAsia="en-AU"/>
        </w:rPr>
        <w:t xml:space="preserve"> (</w:t>
      </w:r>
      <w:r w:rsidR="00A554BD">
        <w:rPr>
          <w:lang w:eastAsia="en-AU"/>
        </w:rPr>
        <w:t xml:space="preserve">NFSS) </w:t>
      </w:r>
      <w:r w:rsidR="00AA57D0">
        <w:rPr>
          <w:lang w:eastAsia="en-AU"/>
        </w:rPr>
        <w:t xml:space="preserve">  </w:t>
      </w:r>
      <w:r w:rsidR="00C664B7">
        <w:rPr>
          <w:lang w:eastAsia="en-AU"/>
        </w:rPr>
        <w:br/>
        <w:t xml:space="preserve">National Digital Skills Strategy </w:t>
      </w:r>
      <w:r w:rsidR="00485E28">
        <w:rPr>
          <w:lang w:eastAsia="en-AU"/>
        </w:rPr>
        <w:t xml:space="preserve"> (DSF)</w:t>
      </w:r>
      <w:r w:rsidR="00485E28">
        <w:rPr>
          <w:lang w:eastAsia="en-AU"/>
        </w:rPr>
        <w:br/>
        <w:t>Australian Core Skills Framework (ACSF)</w:t>
      </w:r>
      <w:r w:rsidR="00E17F1A">
        <w:rPr>
          <w:lang w:eastAsia="en-AU"/>
        </w:rPr>
        <w:br/>
      </w:r>
      <w:r w:rsidR="00A87F17">
        <w:rPr>
          <w:lang w:eastAsia="en-AU"/>
        </w:rPr>
        <w:t>Employability Skills Framework (ESF)</w:t>
      </w:r>
    </w:p>
    <w:p w14:paraId="5711772A" w14:textId="5663100B" w:rsidR="00EA30D0" w:rsidRDefault="00EA30D0" w:rsidP="00C50993">
      <w:pPr>
        <w:pStyle w:val="Heading2"/>
        <w:rPr>
          <w:rFonts w:eastAsia="Times New Roman"/>
          <w:lang w:eastAsia="en-AU"/>
        </w:rPr>
      </w:pPr>
      <w:r>
        <w:rPr>
          <w:rFonts w:eastAsia="Times New Roman"/>
          <w:lang w:eastAsia="en-AU"/>
        </w:rPr>
        <w:t>3 Sco</w:t>
      </w:r>
      <w:r w:rsidR="00C60F1E">
        <w:rPr>
          <w:rFonts w:eastAsia="Times New Roman"/>
          <w:lang w:eastAsia="en-AU"/>
        </w:rPr>
        <w:t>p</w:t>
      </w:r>
      <w:r>
        <w:rPr>
          <w:rFonts w:eastAsia="Times New Roman"/>
          <w:lang w:eastAsia="en-AU"/>
        </w:rPr>
        <w:t xml:space="preserve">e </w:t>
      </w:r>
    </w:p>
    <w:p w14:paraId="20F8B1B5" w14:textId="62C9DB5F" w:rsidR="00712EB8" w:rsidRDefault="00712EB8">
      <w:pPr>
        <w:rPr>
          <w:rFonts w:eastAsia="Times New Roman" w:cs="Calibri"/>
          <w:color w:val="333333"/>
          <w:kern w:val="0"/>
          <w:szCs w:val="24"/>
          <w:lang w:eastAsia="en-AU"/>
          <w14:ligatures w14:val="none"/>
        </w:rPr>
      </w:pPr>
      <w:r w:rsidRPr="00712EB8">
        <w:rPr>
          <w:rFonts w:eastAsia="Times New Roman" w:cs="Calibri"/>
          <w:color w:val="333333"/>
          <w:kern w:val="0"/>
          <w:szCs w:val="24"/>
          <w:lang w:eastAsia="en-AU"/>
          <w14:ligatures w14:val="none"/>
        </w:rPr>
        <w:t xml:space="preserve">This policy actively supports all current and future learners with disabilities. Additionally, learners identified through a pre-training assessment (PTA) as having LLND </w:t>
      </w:r>
      <w:r>
        <w:rPr>
          <w:rFonts w:eastAsia="Times New Roman" w:cs="Calibri"/>
          <w:color w:val="333333"/>
          <w:kern w:val="0"/>
          <w:szCs w:val="24"/>
          <w:lang w:eastAsia="en-AU"/>
          <w14:ligatures w14:val="none"/>
        </w:rPr>
        <w:t>n</w:t>
      </w:r>
      <w:r w:rsidRPr="00712EB8">
        <w:rPr>
          <w:rFonts w:eastAsia="Times New Roman" w:cs="Calibri"/>
          <w:color w:val="333333"/>
          <w:kern w:val="0"/>
          <w:szCs w:val="24"/>
          <w:lang w:eastAsia="en-AU"/>
          <w14:ligatures w14:val="none"/>
        </w:rPr>
        <w:t>eeds will receive reasonable adjustments and UDL to ensure their success.</w:t>
      </w:r>
    </w:p>
    <w:p w14:paraId="541C5E09" w14:textId="06485BDC" w:rsidR="00C31CA7" w:rsidRDefault="005F1FA7">
      <w:pPr>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All VET products</w:t>
      </w:r>
      <w:r w:rsidR="00840E9A">
        <w:rPr>
          <w:rFonts w:eastAsia="Times New Roman" w:cs="Calibri"/>
          <w:color w:val="333333"/>
          <w:kern w:val="0"/>
          <w:szCs w:val="24"/>
          <w:lang w:eastAsia="en-AU"/>
          <w14:ligatures w14:val="none"/>
        </w:rPr>
        <w:t xml:space="preserve">, from Training and Assessment Strategies (TAS) </w:t>
      </w:r>
      <w:r w:rsidR="00573B55">
        <w:rPr>
          <w:rFonts w:eastAsia="Times New Roman" w:cs="Calibri"/>
          <w:color w:val="333333"/>
          <w:kern w:val="0"/>
          <w:szCs w:val="24"/>
          <w:lang w:eastAsia="en-AU"/>
          <w14:ligatures w14:val="none"/>
        </w:rPr>
        <w:t xml:space="preserve">to training and assessment materials, will also incorporate reasonable adjustment and UDL principles to accommodate </w:t>
      </w:r>
      <w:r w:rsidR="00712EB8">
        <w:rPr>
          <w:rFonts w:eastAsia="Times New Roman" w:cs="Calibri"/>
          <w:color w:val="333333"/>
          <w:kern w:val="0"/>
          <w:szCs w:val="24"/>
          <w:lang w:eastAsia="en-AU"/>
          <w14:ligatures w14:val="none"/>
        </w:rPr>
        <w:t>learner</w:t>
      </w:r>
      <w:r w:rsidR="00573B55">
        <w:rPr>
          <w:rFonts w:eastAsia="Times New Roman" w:cs="Calibri"/>
          <w:color w:val="333333"/>
          <w:kern w:val="0"/>
          <w:szCs w:val="24"/>
          <w:lang w:eastAsia="en-AU"/>
          <w14:ligatures w14:val="none"/>
        </w:rPr>
        <w:t>s with disabilities</w:t>
      </w:r>
      <w:r>
        <w:rPr>
          <w:rFonts w:eastAsia="Times New Roman" w:cs="Calibri"/>
          <w:color w:val="333333"/>
          <w:kern w:val="0"/>
          <w:szCs w:val="24"/>
          <w:lang w:eastAsia="en-AU"/>
          <w14:ligatures w14:val="none"/>
        </w:rPr>
        <w:t xml:space="preserve"> or LLND </w:t>
      </w:r>
      <w:r w:rsidR="00712EB8">
        <w:rPr>
          <w:rFonts w:eastAsia="Times New Roman" w:cs="Calibri"/>
          <w:color w:val="333333"/>
          <w:kern w:val="0"/>
          <w:szCs w:val="24"/>
          <w:lang w:eastAsia="en-AU"/>
          <w14:ligatures w14:val="none"/>
        </w:rPr>
        <w:t>needs</w:t>
      </w:r>
      <w:r>
        <w:rPr>
          <w:rFonts w:eastAsia="Times New Roman" w:cs="Calibri"/>
          <w:color w:val="333333"/>
          <w:kern w:val="0"/>
          <w:szCs w:val="24"/>
          <w:lang w:eastAsia="en-AU"/>
          <w14:ligatures w14:val="none"/>
        </w:rPr>
        <w:t xml:space="preserve">. </w:t>
      </w:r>
    </w:p>
    <w:p w14:paraId="516DCDEC" w14:textId="7E5A932D" w:rsidR="00520D40" w:rsidRDefault="00C31CA7">
      <w:pPr>
        <w:rPr>
          <w:rFonts w:eastAsia="Times New Roman" w:cs="Calibri"/>
          <w:color w:val="333333"/>
          <w:kern w:val="0"/>
          <w:szCs w:val="24"/>
          <w:lang w:eastAsia="en-AU"/>
          <w14:ligatures w14:val="none"/>
        </w:rPr>
      </w:pPr>
      <w:r w:rsidRPr="00C31CA7">
        <w:rPr>
          <w:rFonts w:eastAsia="Times New Roman" w:cs="Calibri"/>
          <w:color w:val="333333"/>
          <w:kern w:val="0"/>
          <w:szCs w:val="24"/>
          <w:lang w:eastAsia="en-AU"/>
          <w14:ligatures w14:val="none"/>
        </w:rPr>
        <w:t xml:space="preserve">To ensure inclusive and equitable learning opportunities, all Vocational Education and Training (VET) products, including Training and Assessment Strategies (TAS), learning materials, and assessments, will be designed and developed using UDL principles and incorporate provisions for reasonable adjustments. This approach will empower </w:t>
      </w:r>
      <w:r w:rsidR="00712EB8">
        <w:rPr>
          <w:rFonts w:eastAsia="Times New Roman" w:cs="Calibri"/>
          <w:color w:val="333333"/>
          <w:kern w:val="0"/>
          <w:szCs w:val="24"/>
          <w:lang w:eastAsia="en-AU"/>
          <w14:ligatures w14:val="none"/>
        </w:rPr>
        <w:t>learner</w:t>
      </w:r>
      <w:r w:rsidRPr="00C31CA7">
        <w:rPr>
          <w:rFonts w:eastAsia="Times New Roman" w:cs="Calibri"/>
          <w:color w:val="333333"/>
          <w:kern w:val="0"/>
          <w:szCs w:val="24"/>
          <w:lang w:eastAsia="en-AU"/>
          <w14:ligatures w14:val="none"/>
        </w:rPr>
        <w:t>s with disabilities</w:t>
      </w:r>
      <w:r w:rsidR="00712EB8">
        <w:rPr>
          <w:rFonts w:eastAsia="Times New Roman" w:cs="Calibri"/>
          <w:color w:val="333333"/>
          <w:kern w:val="0"/>
          <w:szCs w:val="24"/>
          <w:lang w:eastAsia="en-AU"/>
          <w14:ligatures w14:val="none"/>
        </w:rPr>
        <w:t>,</w:t>
      </w:r>
      <w:r w:rsidRPr="00C31CA7">
        <w:rPr>
          <w:rFonts w:eastAsia="Times New Roman" w:cs="Calibri"/>
          <w:color w:val="333333"/>
          <w:kern w:val="0"/>
          <w:szCs w:val="24"/>
          <w:lang w:eastAsia="en-AU"/>
          <w14:ligatures w14:val="none"/>
        </w:rPr>
        <w:t xml:space="preserve"> </w:t>
      </w:r>
      <w:r w:rsidR="004D2683">
        <w:rPr>
          <w:rFonts w:eastAsia="Times New Roman" w:cs="Calibri"/>
          <w:color w:val="333333"/>
          <w:kern w:val="0"/>
          <w:szCs w:val="24"/>
          <w:lang w:eastAsia="en-AU"/>
          <w14:ligatures w14:val="none"/>
        </w:rPr>
        <w:t>and LLND</w:t>
      </w:r>
      <w:r w:rsidR="00712EB8">
        <w:rPr>
          <w:rFonts w:eastAsia="Times New Roman" w:cs="Calibri"/>
          <w:color w:val="333333"/>
          <w:kern w:val="0"/>
          <w:szCs w:val="24"/>
          <w:lang w:eastAsia="en-AU"/>
          <w14:ligatures w14:val="none"/>
        </w:rPr>
        <w:t xml:space="preserve"> needs</w:t>
      </w:r>
      <w:r w:rsidR="004D2683">
        <w:rPr>
          <w:rFonts w:eastAsia="Times New Roman" w:cs="Calibri"/>
          <w:color w:val="333333"/>
          <w:kern w:val="0"/>
          <w:szCs w:val="24"/>
          <w:lang w:eastAsia="en-AU"/>
          <w14:ligatures w14:val="none"/>
        </w:rPr>
        <w:t xml:space="preserve"> to participate fully in training and assessment</w:t>
      </w:r>
      <w:r w:rsidRPr="00C31CA7">
        <w:rPr>
          <w:rFonts w:eastAsia="Times New Roman" w:cs="Calibri"/>
          <w:color w:val="333333"/>
          <w:kern w:val="0"/>
          <w:szCs w:val="24"/>
          <w:lang w:eastAsia="en-AU"/>
          <w14:ligatures w14:val="none"/>
        </w:rPr>
        <w:t>.</w:t>
      </w:r>
      <w:r w:rsidR="00520D40">
        <w:rPr>
          <w:rFonts w:eastAsia="Times New Roman" w:cs="Calibri"/>
          <w:color w:val="333333"/>
          <w:kern w:val="0"/>
          <w:szCs w:val="24"/>
          <w:lang w:eastAsia="en-AU"/>
          <w14:ligatures w14:val="none"/>
        </w:rPr>
        <w:br w:type="page"/>
      </w:r>
    </w:p>
    <w:p w14:paraId="76A5C626" w14:textId="7C81C972" w:rsidR="00EA30D0" w:rsidRDefault="00EA30D0" w:rsidP="00EA30D0">
      <w:pPr>
        <w:spacing w:line="240" w:lineRule="auto"/>
        <w:rPr>
          <w:rFonts w:eastAsia="Times New Roman" w:cs="Calibri"/>
          <w:color w:val="333333"/>
          <w:kern w:val="0"/>
          <w:szCs w:val="24"/>
          <w:lang w:eastAsia="en-AU"/>
          <w14:ligatures w14:val="none"/>
        </w:rPr>
      </w:pPr>
      <w:r w:rsidRPr="00EA30D0">
        <w:rPr>
          <w:rStyle w:val="Heading2Char"/>
        </w:rPr>
        <w:lastRenderedPageBreak/>
        <w:t>4 Policy</w:t>
      </w:r>
    </w:p>
    <w:p w14:paraId="660D4F24" w14:textId="6294B790" w:rsidR="003B00FF" w:rsidRDefault="00D163B4" w:rsidP="00170186">
      <w:pPr>
        <w:pStyle w:val="Heading2"/>
        <w:rPr>
          <w:rFonts w:eastAsiaTheme="minorHAnsi" w:cstheme="minorBidi"/>
          <w:color w:val="auto"/>
          <w:sz w:val="24"/>
          <w:szCs w:val="24"/>
          <w:lang w:eastAsia="en-AU"/>
        </w:rPr>
      </w:pPr>
      <w:r w:rsidRPr="003B00FF">
        <w:rPr>
          <w:rFonts w:eastAsiaTheme="minorHAnsi" w:cstheme="minorBidi"/>
          <w:color w:val="auto"/>
          <w:sz w:val="24"/>
          <w:szCs w:val="24"/>
          <w:lang w:eastAsia="en-AU"/>
        </w:rPr>
        <w:t>NTM champions equal access, participation, and opportunity for people with disabilities</w:t>
      </w:r>
      <w:r w:rsidR="00C664B7">
        <w:rPr>
          <w:rFonts w:eastAsiaTheme="minorHAnsi" w:cstheme="minorBidi"/>
          <w:color w:val="auto"/>
          <w:sz w:val="24"/>
          <w:szCs w:val="24"/>
          <w:lang w:eastAsia="en-AU"/>
        </w:rPr>
        <w:t xml:space="preserve"> and LLND </w:t>
      </w:r>
      <w:r w:rsidR="00712EB8">
        <w:rPr>
          <w:rFonts w:eastAsiaTheme="minorHAnsi" w:cstheme="minorBidi"/>
          <w:color w:val="auto"/>
          <w:sz w:val="24"/>
          <w:szCs w:val="24"/>
          <w:lang w:eastAsia="en-AU"/>
        </w:rPr>
        <w:t>needs</w:t>
      </w:r>
      <w:r w:rsidRPr="003B00FF">
        <w:rPr>
          <w:rFonts w:eastAsiaTheme="minorHAnsi" w:cstheme="minorBidi"/>
          <w:color w:val="auto"/>
          <w:sz w:val="24"/>
          <w:szCs w:val="24"/>
          <w:lang w:eastAsia="en-AU"/>
        </w:rPr>
        <w:t>.</w:t>
      </w:r>
      <w:r w:rsidR="00BC067E" w:rsidRPr="00BC067E">
        <w:rPr>
          <w:rFonts w:eastAsiaTheme="minorHAnsi" w:cstheme="minorBidi"/>
          <w:color w:val="auto"/>
          <w:sz w:val="24"/>
          <w:szCs w:val="24"/>
          <w:lang w:eastAsia="en-AU"/>
        </w:rPr>
        <w:t xml:space="preserve"> Through collaborative partnerships with </w:t>
      </w:r>
      <w:r w:rsidR="00712EB8">
        <w:rPr>
          <w:rFonts w:eastAsiaTheme="minorHAnsi" w:cstheme="minorBidi"/>
          <w:color w:val="auto"/>
          <w:sz w:val="24"/>
          <w:szCs w:val="24"/>
          <w:lang w:eastAsia="en-AU"/>
        </w:rPr>
        <w:t>learner</w:t>
      </w:r>
      <w:r w:rsidR="00BC067E" w:rsidRPr="00BC067E">
        <w:rPr>
          <w:rFonts w:eastAsiaTheme="minorHAnsi" w:cstheme="minorBidi"/>
          <w:color w:val="auto"/>
          <w:sz w:val="24"/>
          <w:szCs w:val="24"/>
          <w:lang w:eastAsia="en-AU"/>
        </w:rPr>
        <w:t xml:space="preserve">s, NTM identifies and implements reasonable adjustments to ensure </w:t>
      </w:r>
      <w:r w:rsidR="00712EB8">
        <w:rPr>
          <w:rFonts w:eastAsiaTheme="minorHAnsi" w:cstheme="minorBidi"/>
          <w:color w:val="auto"/>
          <w:sz w:val="24"/>
          <w:szCs w:val="24"/>
          <w:lang w:eastAsia="en-AU"/>
        </w:rPr>
        <w:t>learner</w:t>
      </w:r>
      <w:r w:rsidR="00A87F17">
        <w:rPr>
          <w:rFonts w:eastAsiaTheme="minorHAnsi" w:cstheme="minorBidi"/>
          <w:color w:val="auto"/>
          <w:sz w:val="24"/>
          <w:szCs w:val="24"/>
          <w:lang w:eastAsia="en-AU"/>
        </w:rPr>
        <w:t xml:space="preserve">s </w:t>
      </w:r>
      <w:r w:rsidR="00BC067E" w:rsidRPr="00BC067E">
        <w:rPr>
          <w:rFonts w:eastAsiaTheme="minorHAnsi" w:cstheme="minorBidi"/>
          <w:color w:val="auto"/>
          <w:sz w:val="24"/>
          <w:szCs w:val="24"/>
          <w:lang w:eastAsia="en-AU"/>
        </w:rPr>
        <w:t>full</w:t>
      </w:r>
      <w:r w:rsidR="000C061B">
        <w:rPr>
          <w:rFonts w:eastAsiaTheme="minorHAnsi" w:cstheme="minorBidi"/>
          <w:color w:val="auto"/>
          <w:sz w:val="24"/>
          <w:szCs w:val="24"/>
          <w:lang w:eastAsia="en-AU"/>
        </w:rPr>
        <w:t>y reach their learning potential</w:t>
      </w:r>
      <w:r>
        <w:rPr>
          <w:rFonts w:eastAsiaTheme="minorHAnsi" w:cstheme="minorBidi"/>
          <w:color w:val="auto"/>
          <w:sz w:val="24"/>
          <w:szCs w:val="24"/>
          <w:lang w:eastAsia="en-AU"/>
        </w:rPr>
        <w:t>.</w:t>
      </w:r>
      <w:r w:rsidR="005436DF">
        <w:rPr>
          <w:rFonts w:eastAsiaTheme="minorHAnsi" w:cstheme="minorBidi"/>
          <w:color w:val="auto"/>
          <w:sz w:val="24"/>
          <w:szCs w:val="24"/>
          <w:lang w:eastAsia="en-AU"/>
        </w:rPr>
        <w:t xml:space="preserve"> </w:t>
      </w:r>
      <w:r w:rsidR="0009314D">
        <w:rPr>
          <w:rFonts w:eastAsiaTheme="minorHAnsi" w:cstheme="minorBidi"/>
          <w:color w:val="auto"/>
          <w:sz w:val="24"/>
          <w:szCs w:val="24"/>
          <w:lang w:eastAsia="en-AU"/>
        </w:rPr>
        <w:t>We</w:t>
      </w:r>
      <w:r w:rsidR="003B00FF" w:rsidRPr="003B00FF">
        <w:rPr>
          <w:rFonts w:eastAsiaTheme="minorHAnsi" w:cstheme="minorBidi"/>
          <w:color w:val="auto"/>
          <w:sz w:val="24"/>
          <w:szCs w:val="24"/>
          <w:lang w:eastAsia="en-AU"/>
        </w:rPr>
        <w:t xml:space="preserve"> </w:t>
      </w:r>
      <w:r w:rsidR="005436DF">
        <w:rPr>
          <w:rFonts w:eastAsiaTheme="minorHAnsi" w:cstheme="minorBidi"/>
          <w:color w:val="auto"/>
          <w:sz w:val="24"/>
          <w:szCs w:val="24"/>
          <w:lang w:eastAsia="en-AU"/>
        </w:rPr>
        <w:t>actively integrate</w:t>
      </w:r>
      <w:r w:rsidR="0009314D">
        <w:rPr>
          <w:rFonts w:eastAsiaTheme="minorHAnsi" w:cstheme="minorBidi"/>
          <w:color w:val="auto"/>
          <w:sz w:val="24"/>
          <w:szCs w:val="24"/>
          <w:lang w:eastAsia="en-AU"/>
        </w:rPr>
        <w:t xml:space="preserve"> reasonable adjustment</w:t>
      </w:r>
      <w:r w:rsidR="003B00FF" w:rsidRPr="003B00FF">
        <w:rPr>
          <w:rFonts w:eastAsiaTheme="minorHAnsi" w:cstheme="minorBidi"/>
          <w:color w:val="auto"/>
          <w:sz w:val="24"/>
          <w:szCs w:val="24"/>
          <w:lang w:eastAsia="en-AU"/>
        </w:rPr>
        <w:t xml:space="preserve"> </w:t>
      </w:r>
      <w:r w:rsidR="00FF6F1E">
        <w:rPr>
          <w:rFonts w:eastAsiaTheme="minorHAnsi" w:cstheme="minorBidi"/>
          <w:color w:val="auto"/>
          <w:sz w:val="24"/>
          <w:szCs w:val="24"/>
          <w:lang w:eastAsia="en-AU"/>
        </w:rPr>
        <w:t>and UD</w:t>
      </w:r>
      <w:r w:rsidR="00E259F9">
        <w:rPr>
          <w:rFonts w:eastAsiaTheme="minorHAnsi" w:cstheme="minorBidi"/>
          <w:color w:val="auto"/>
          <w:sz w:val="24"/>
          <w:szCs w:val="24"/>
          <w:lang w:eastAsia="en-AU"/>
        </w:rPr>
        <w:t xml:space="preserve">L principles </w:t>
      </w:r>
      <w:r w:rsidR="003B00FF" w:rsidRPr="003B00FF">
        <w:rPr>
          <w:rFonts w:eastAsiaTheme="minorHAnsi" w:cstheme="minorBidi"/>
          <w:color w:val="auto"/>
          <w:sz w:val="24"/>
          <w:szCs w:val="24"/>
          <w:lang w:eastAsia="en-AU"/>
        </w:rPr>
        <w:t xml:space="preserve">into all </w:t>
      </w:r>
      <w:r w:rsidR="0009314D">
        <w:rPr>
          <w:rFonts w:eastAsiaTheme="minorHAnsi" w:cstheme="minorBidi"/>
          <w:color w:val="auto"/>
          <w:sz w:val="24"/>
          <w:szCs w:val="24"/>
          <w:lang w:eastAsia="en-AU"/>
        </w:rPr>
        <w:t>our</w:t>
      </w:r>
      <w:r w:rsidR="003B00FF" w:rsidRPr="003B00FF">
        <w:rPr>
          <w:rFonts w:eastAsiaTheme="minorHAnsi" w:cstheme="minorBidi"/>
          <w:color w:val="auto"/>
          <w:sz w:val="24"/>
          <w:szCs w:val="24"/>
          <w:lang w:eastAsia="en-AU"/>
        </w:rPr>
        <w:t xml:space="preserve"> policies, procedures, decisions, and operations. </w:t>
      </w:r>
    </w:p>
    <w:p w14:paraId="41AAFC30" w14:textId="2C921268" w:rsidR="000A1C99" w:rsidRDefault="000A1C99" w:rsidP="00170186">
      <w:pPr>
        <w:pStyle w:val="Heading2"/>
        <w:rPr>
          <w:rFonts w:eastAsiaTheme="minorHAnsi" w:cstheme="minorBidi"/>
          <w:color w:val="auto"/>
          <w:sz w:val="24"/>
          <w:szCs w:val="24"/>
          <w:lang w:eastAsia="en-AU"/>
        </w:rPr>
      </w:pPr>
      <w:r w:rsidRPr="000A1C99">
        <w:rPr>
          <w:rFonts w:eastAsiaTheme="minorHAnsi" w:cstheme="minorBidi"/>
          <w:color w:val="auto"/>
          <w:sz w:val="24"/>
          <w:szCs w:val="24"/>
          <w:lang w:eastAsia="en-AU"/>
        </w:rPr>
        <w:t xml:space="preserve">NTM actively promotes a positive and informed environment for </w:t>
      </w:r>
      <w:r w:rsidR="00712EB8">
        <w:rPr>
          <w:rFonts w:eastAsiaTheme="minorHAnsi" w:cstheme="minorBidi"/>
          <w:color w:val="auto"/>
          <w:sz w:val="24"/>
          <w:szCs w:val="24"/>
          <w:lang w:eastAsia="en-AU"/>
        </w:rPr>
        <w:t>learner</w:t>
      </w:r>
      <w:r w:rsidRPr="000A1C99">
        <w:rPr>
          <w:rFonts w:eastAsiaTheme="minorHAnsi" w:cstheme="minorBidi"/>
          <w:color w:val="auto"/>
          <w:sz w:val="24"/>
          <w:szCs w:val="24"/>
          <w:lang w:eastAsia="en-AU"/>
        </w:rPr>
        <w:t xml:space="preserve">s and staff with </w:t>
      </w:r>
      <w:r w:rsidR="00E259F9">
        <w:rPr>
          <w:rFonts w:eastAsiaTheme="minorHAnsi" w:cstheme="minorBidi"/>
          <w:color w:val="auto"/>
          <w:sz w:val="24"/>
          <w:szCs w:val="24"/>
          <w:lang w:eastAsia="en-AU"/>
        </w:rPr>
        <w:t>disabilities and LLND issues</w:t>
      </w:r>
      <w:r w:rsidRPr="000A1C99">
        <w:rPr>
          <w:rFonts w:eastAsiaTheme="minorHAnsi" w:cstheme="minorBidi"/>
          <w:color w:val="auto"/>
          <w:sz w:val="24"/>
          <w:szCs w:val="24"/>
          <w:lang w:eastAsia="en-AU"/>
        </w:rPr>
        <w:t xml:space="preserve">. This includes fostering respectful </w:t>
      </w:r>
      <w:r w:rsidR="00CB647B">
        <w:rPr>
          <w:rFonts w:eastAsiaTheme="minorHAnsi" w:cstheme="minorBidi"/>
          <w:color w:val="auto"/>
          <w:sz w:val="24"/>
          <w:szCs w:val="24"/>
          <w:lang w:eastAsia="en-AU"/>
        </w:rPr>
        <w:t>behaviour</w:t>
      </w:r>
      <w:r w:rsidRPr="000A1C99">
        <w:rPr>
          <w:rFonts w:eastAsiaTheme="minorHAnsi" w:cstheme="minorBidi"/>
          <w:color w:val="auto"/>
          <w:sz w:val="24"/>
          <w:szCs w:val="24"/>
          <w:lang w:eastAsia="en-AU"/>
        </w:rPr>
        <w:t xml:space="preserve">, attitudes, and language.  To ensure staff are well-equipped to support all </w:t>
      </w:r>
      <w:r w:rsidR="00712EB8">
        <w:rPr>
          <w:rFonts w:eastAsiaTheme="minorHAnsi" w:cstheme="minorBidi"/>
          <w:color w:val="auto"/>
          <w:sz w:val="24"/>
          <w:szCs w:val="24"/>
          <w:lang w:eastAsia="en-AU"/>
        </w:rPr>
        <w:t>learner</w:t>
      </w:r>
      <w:r w:rsidRPr="000A1C99">
        <w:rPr>
          <w:rFonts w:eastAsiaTheme="minorHAnsi" w:cstheme="minorBidi"/>
          <w:color w:val="auto"/>
          <w:sz w:val="24"/>
          <w:szCs w:val="24"/>
          <w:lang w:eastAsia="en-AU"/>
        </w:rPr>
        <w:t xml:space="preserve">s, NTM provides resources and training to </w:t>
      </w:r>
      <w:r w:rsidR="000D22B3">
        <w:rPr>
          <w:rFonts w:eastAsiaTheme="minorHAnsi" w:cstheme="minorBidi"/>
          <w:color w:val="auto"/>
          <w:sz w:val="24"/>
          <w:szCs w:val="24"/>
          <w:lang w:eastAsia="en-AU"/>
        </w:rPr>
        <w:t xml:space="preserve">embed reasonable adjustment in all training and assessment practices. </w:t>
      </w:r>
      <w:r w:rsidR="00461A90">
        <w:rPr>
          <w:rFonts w:eastAsiaTheme="minorHAnsi" w:cstheme="minorBidi"/>
          <w:color w:val="auto"/>
          <w:sz w:val="24"/>
          <w:szCs w:val="24"/>
          <w:lang w:eastAsia="en-AU"/>
        </w:rPr>
        <w:t xml:space="preserve">  </w:t>
      </w:r>
    </w:p>
    <w:p w14:paraId="6477241E" w14:textId="1763EBCF" w:rsidR="00420700" w:rsidRDefault="004B318E" w:rsidP="00170186">
      <w:pPr>
        <w:pStyle w:val="Heading2"/>
        <w:rPr>
          <w:rFonts w:eastAsia="Times New Roman"/>
          <w:szCs w:val="24"/>
          <w:lang w:eastAsia="en-AU"/>
        </w:rPr>
      </w:pPr>
      <w:r>
        <w:rPr>
          <w:rFonts w:eastAsia="Times New Roman"/>
          <w:lang w:eastAsia="en-AU"/>
        </w:rPr>
        <w:t>5</w:t>
      </w:r>
      <w:r w:rsidR="00E34146" w:rsidRPr="00482851">
        <w:rPr>
          <w:rFonts w:eastAsia="Times New Roman"/>
          <w:lang w:eastAsia="en-AU"/>
        </w:rPr>
        <w:t xml:space="preserve"> </w:t>
      </w:r>
      <w:r w:rsidR="008E0A1A">
        <w:rPr>
          <w:rFonts w:eastAsia="Times New Roman"/>
          <w:lang w:eastAsia="en-AU"/>
        </w:rPr>
        <w:t xml:space="preserve">General Responsibilities, Accountability and Authority </w:t>
      </w:r>
    </w:p>
    <w:p w14:paraId="21679160" w14:textId="77777777" w:rsidR="00712EB8" w:rsidRDefault="0041713E" w:rsidP="00712EB8">
      <w:pPr>
        <w:spacing w:line="240" w:lineRule="auto"/>
        <w:rPr>
          <w:rFonts w:cs="Calibri"/>
          <w:szCs w:val="24"/>
        </w:rPr>
      </w:pPr>
      <w:r w:rsidRPr="0041713E">
        <w:rPr>
          <w:rFonts w:cs="Calibri"/>
          <w:szCs w:val="24"/>
        </w:rPr>
        <w:t xml:space="preserve">The Disability Discrimination Act (1992) requires </w:t>
      </w:r>
      <w:r w:rsidR="00313A1D">
        <w:rPr>
          <w:rFonts w:cs="Calibri"/>
          <w:szCs w:val="24"/>
        </w:rPr>
        <w:t>NTM</w:t>
      </w:r>
      <w:r w:rsidRPr="0041713E">
        <w:rPr>
          <w:rFonts w:cs="Calibri"/>
          <w:szCs w:val="24"/>
        </w:rPr>
        <w:t xml:space="preserve"> to put in place actions to help ensure equal opportunity for people with a disability. Under the Disability Standards for Education 2005, </w:t>
      </w:r>
      <w:r w:rsidR="00A461BA">
        <w:rPr>
          <w:rFonts w:cs="Calibri"/>
          <w:szCs w:val="24"/>
        </w:rPr>
        <w:t>NTM</w:t>
      </w:r>
      <w:r w:rsidRPr="0041713E">
        <w:rPr>
          <w:rFonts w:cs="Calibri"/>
          <w:szCs w:val="24"/>
        </w:rPr>
        <w:t xml:space="preserve"> must make reasonable adjustments for people with a disability to the maximum extent that those adjustments do not cause that education provider unjustifiable hardship. </w:t>
      </w:r>
      <w:r w:rsidR="006720FB">
        <w:rPr>
          <w:rFonts w:cs="Calibri"/>
          <w:szCs w:val="24"/>
        </w:rPr>
        <w:t xml:space="preserve">Below are the rights and responsibilities of </w:t>
      </w:r>
      <w:r w:rsidR="00712EB8">
        <w:rPr>
          <w:rFonts w:cs="Calibri"/>
          <w:szCs w:val="24"/>
        </w:rPr>
        <w:t>learner</w:t>
      </w:r>
      <w:r w:rsidR="006720FB">
        <w:rPr>
          <w:rFonts w:cs="Calibri"/>
          <w:szCs w:val="24"/>
        </w:rPr>
        <w:t xml:space="preserve">s regarding reasonable adjustments and LLND provisions. </w:t>
      </w:r>
    </w:p>
    <w:p w14:paraId="31F12610" w14:textId="77777777" w:rsidR="00712EB8" w:rsidRDefault="001B3F9B" w:rsidP="00712EB8">
      <w:pPr>
        <w:spacing w:line="240" w:lineRule="auto"/>
      </w:pPr>
      <w:r>
        <w:t>5.1 Enrolment</w:t>
      </w:r>
    </w:p>
    <w:p w14:paraId="35A4DA21" w14:textId="77777777" w:rsidR="00712EB8" w:rsidRDefault="001C0ED5" w:rsidP="00712EB8">
      <w:pPr>
        <w:spacing w:line="240" w:lineRule="auto"/>
      </w:pPr>
      <w:r w:rsidRPr="001C0ED5">
        <w:t xml:space="preserve">NTM promotes fair and inclusive admissions for all prospective </w:t>
      </w:r>
      <w:r w:rsidR="00712EB8">
        <w:t>learner</w:t>
      </w:r>
      <w:r w:rsidRPr="001C0ED5">
        <w:t>s.</w:t>
      </w:r>
    </w:p>
    <w:p w14:paraId="1AC64EEB" w14:textId="77777777" w:rsidR="00712EB8" w:rsidRDefault="001C0ED5" w:rsidP="00712EB8">
      <w:pPr>
        <w:spacing w:line="240" w:lineRule="auto"/>
      </w:pPr>
      <w:r w:rsidRPr="001C0ED5">
        <w:t>We ensure this by:</w:t>
      </w:r>
    </w:p>
    <w:p w14:paraId="1F0011B8" w14:textId="77777777" w:rsidR="00712EB8" w:rsidRDefault="00E1180D" w:rsidP="00712EB8">
      <w:pPr>
        <w:pStyle w:val="ListParagraph"/>
        <w:numPr>
          <w:ilvl w:val="0"/>
          <w:numId w:val="12"/>
        </w:numPr>
        <w:spacing w:line="240" w:lineRule="auto"/>
      </w:pPr>
      <w:r w:rsidRPr="00712EB8">
        <w:rPr>
          <w:b/>
          <w:bCs/>
        </w:rPr>
        <w:t>Facilitating</w:t>
      </w:r>
      <w:r w:rsidR="001C0ED5" w:rsidRPr="00712EB8">
        <w:rPr>
          <w:b/>
          <w:bCs/>
        </w:rPr>
        <w:t xml:space="preserve"> equal access</w:t>
      </w:r>
      <w:r w:rsidR="001C0ED5" w:rsidRPr="001C0ED5">
        <w:t xml:space="preserve"> to the application process for all </w:t>
      </w:r>
      <w:r w:rsidR="00712EB8">
        <w:t>learner</w:t>
      </w:r>
      <w:r w:rsidR="001C0ED5" w:rsidRPr="001C0ED5">
        <w:t xml:space="preserve">s, regardless of disability or </w:t>
      </w:r>
      <w:r>
        <w:t>LLND</w:t>
      </w:r>
      <w:r w:rsidR="001C0ED5" w:rsidRPr="001C0ED5">
        <w:t xml:space="preserve"> </w:t>
      </w:r>
      <w:r>
        <w:t>needs.</w:t>
      </w:r>
    </w:p>
    <w:p w14:paraId="08915EF3" w14:textId="77777777" w:rsidR="00712EB8" w:rsidRDefault="001C0ED5" w:rsidP="00712EB8">
      <w:pPr>
        <w:pStyle w:val="ListParagraph"/>
        <w:numPr>
          <w:ilvl w:val="0"/>
          <w:numId w:val="12"/>
        </w:numPr>
        <w:spacing w:line="240" w:lineRule="auto"/>
      </w:pPr>
      <w:r w:rsidRPr="00712EB8">
        <w:rPr>
          <w:b/>
          <w:bCs/>
        </w:rPr>
        <w:t>Offering reasonable adjustments</w:t>
      </w:r>
      <w:r w:rsidRPr="001C0ED5">
        <w:t xml:space="preserve"> throughout the admissions process to ensure accessibility.</w:t>
      </w:r>
    </w:p>
    <w:p w14:paraId="60674692" w14:textId="77777777" w:rsidR="00712EB8" w:rsidRDefault="001C0ED5" w:rsidP="00712EB8">
      <w:pPr>
        <w:pStyle w:val="ListParagraph"/>
        <w:numPr>
          <w:ilvl w:val="0"/>
          <w:numId w:val="12"/>
        </w:numPr>
        <w:spacing w:line="240" w:lineRule="auto"/>
      </w:pPr>
      <w:r w:rsidRPr="00712EB8">
        <w:rPr>
          <w:b/>
          <w:bCs/>
        </w:rPr>
        <w:t>Evaluating all applicants fairly</w:t>
      </w:r>
      <w:r w:rsidRPr="001C0ED5">
        <w:t xml:space="preserve">, considering </w:t>
      </w:r>
      <w:r w:rsidR="00712EB8">
        <w:t>learner</w:t>
      </w:r>
      <w:r w:rsidRPr="001C0ED5">
        <w:t>s with LLND</w:t>
      </w:r>
      <w:r w:rsidR="00E1180D">
        <w:t xml:space="preserve"> needs</w:t>
      </w:r>
      <w:r w:rsidRPr="001C0ED5">
        <w:t xml:space="preserve"> and disabilities alongside those without.</w:t>
      </w:r>
    </w:p>
    <w:p w14:paraId="5A15A78D" w14:textId="77777777" w:rsidR="00712EB8" w:rsidRDefault="001C0ED5" w:rsidP="00712EB8">
      <w:pPr>
        <w:pStyle w:val="ListParagraph"/>
        <w:numPr>
          <w:ilvl w:val="0"/>
          <w:numId w:val="12"/>
        </w:numPr>
        <w:spacing w:line="240" w:lineRule="auto"/>
      </w:pPr>
      <w:r w:rsidRPr="00712EB8">
        <w:rPr>
          <w:b/>
          <w:bCs/>
        </w:rPr>
        <w:t>Providing appropriate support</w:t>
      </w:r>
      <w:r w:rsidRPr="001C0ED5">
        <w:t xml:space="preserve"> for </w:t>
      </w:r>
      <w:r w:rsidR="00712EB8">
        <w:t>learner</w:t>
      </w:r>
      <w:r w:rsidRPr="001C0ED5">
        <w:t xml:space="preserve">s requiring additional assistance in developing LLND </w:t>
      </w:r>
      <w:r w:rsidR="00E1180D">
        <w:t>needs</w:t>
      </w:r>
      <w:r w:rsidR="00844666">
        <w:t xml:space="preserve"> and those with disability by providing</w:t>
      </w:r>
      <w:r w:rsidRPr="001C0ED5">
        <w:t xml:space="preserve"> reasonable adjustments </w:t>
      </w:r>
      <w:r w:rsidR="00844666">
        <w:t>to</w:t>
      </w:r>
      <w:r w:rsidRPr="001C0ED5">
        <w:t xml:space="preserve"> training and assessments.</w:t>
      </w:r>
    </w:p>
    <w:p w14:paraId="32662921" w14:textId="77777777" w:rsidR="00712EB8" w:rsidRDefault="001C0ED5" w:rsidP="00712EB8">
      <w:pPr>
        <w:pStyle w:val="ListParagraph"/>
        <w:numPr>
          <w:ilvl w:val="0"/>
          <w:numId w:val="12"/>
        </w:numPr>
        <w:spacing w:line="240" w:lineRule="auto"/>
      </w:pPr>
      <w:r w:rsidRPr="00712EB8">
        <w:rPr>
          <w:b/>
          <w:bCs/>
        </w:rPr>
        <w:t>Facilitating access to specialised support</w:t>
      </w:r>
      <w:r w:rsidRPr="001C0ED5">
        <w:t xml:space="preserve"> by referring </w:t>
      </w:r>
      <w:r w:rsidR="00712EB8">
        <w:t>learner</w:t>
      </w:r>
      <w:r w:rsidRPr="001C0ED5">
        <w:t>s with specific needs to the Director of Equity and the LLND Practitioner.</w:t>
      </w:r>
    </w:p>
    <w:p w14:paraId="0CB9B6F8" w14:textId="77777777" w:rsidR="00712EB8" w:rsidRDefault="001C0ED5" w:rsidP="00712EB8">
      <w:pPr>
        <w:pStyle w:val="ListParagraph"/>
        <w:numPr>
          <w:ilvl w:val="0"/>
          <w:numId w:val="12"/>
        </w:numPr>
        <w:spacing w:line="240" w:lineRule="auto"/>
      </w:pPr>
      <w:r w:rsidRPr="00712EB8">
        <w:rPr>
          <w:b/>
          <w:bCs/>
        </w:rPr>
        <w:t>Maintaining transparency</w:t>
      </w:r>
      <w:r w:rsidRPr="001C0ED5">
        <w:t xml:space="preserve"> regarding available reasonable adjustments.</w:t>
      </w:r>
    </w:p>
    <w:p w14:paraId="116814EA" w14:textId="77777777" w:rsidR="00712EB8" w:rsidRDefault="001C0ED5" w:rsidP="00712EB8">
      <w:pPr>
        <w:pStyle w:val="ListParagraph"/>
        <w:numPr>
          <w:ilvl w:val="0"/>
          <w:numId w:val="12"/>
        </w:numPr>
        <w:spacing w:line="240" w:lineRule="auto"/>
      </w:pPr>
      <w:r w:rsidRPr="00712EB8">
        <w:rPr>
          <w:b/>
          <w:bCs/>
        </w:rPr>
        <w:t xml:space="preserve">Connecting </w:t>
      </w:r>
      <w:r w:rsidR="00712EB8" w:rsidRPr="00712EB8">
        <w:rPr>
          <w:b/>
          <w:bCs/>
        </w:rPr>
        <w:t>learner</w:t>
      </w:r>
      <w:r w:rsidRPr="00712EB8">
        <w:rPr>
          <w:b/>
          <w:bCs/>
        </w:rPr>
        <w:t>s with external support</w:t>
      </w:r>
      <w:r w:rsidRPr="001C0ED5">
        <w:t xml:space="preserve"> when needs fall outside the scope of NTM's resources or when adjustments become unreasonable.</w:t>
      </w:r>
    </w:p>
    <w:p w14:paraId="304E1292" w14:textId="3B03873D" w:rsidR="001C0ED5" w:rsidRDefault="001C0ED5" w:rsidP="00712EB8">
      <w:pPr>
        <w:pStyle w:val="ListParagraph"/>
        <w:numPr>
          <w:ilvl w:val="0"/>
          <w:numId w:val="12"/>
        </w:numPr>
        <w:spacing w:line="240" w:lineRule="auto"/>
      </w:pPr>
      <w:r w:rsidRPr="00712EB8">
        <w:rPr>
          <w:b/>
          <w:bCs/>
        </w:rPr>
        <w:t>Engaging in open communication</w:t>
      </w:r>
      <w:r w:rsidRPr="001C0ED5">
        <w:t xml:space="preserve"> with prospective </w:t>
      </w:r>
      <w:r w:rsidR="00712EB8">
        <w:t>learner</w:t>
      </w:r>
      <w:r w:rsidRPr="001C0ED5">
        <w:t>s and their associates</w:t>
      </w:r>
      <w:r w:rsidR="00937F0E">
        <w:t>,</w:t>
      </w:r>
      <w:r w:rsidRPr="001C0ED5">
        <w:t xml:space="preserve"> </w:t>
      </w:r>
      <w:r>
        <w:t xml:space="preserve">such as their carer, </w:t>
      </w:r>
      <w:r w:rsidRPr="001C0ED5">
        <w:t xml:space="preserve">to understand how their disability or LLND </w:t>
      </w:r>
      <w:r w:rsidR="00937F0E">
        <w:t xml:space="preserve">needs </w:t>
      </w:r>
      <w:r w:rsidRPr="001C0ED5">
        <w:t>may impact their application and identify necessary adjustments throughout training and assessments.</w:t>
      </w:r>
    </w:p>
    <w:p w14:paraId="2BAADDE1" w14:textId="73E30F8A" w:rsidR="00AF0B5A" w:rsidRDefault="00AF0B5A" w:rsidP="001C0ED5">
      <w:pPr>
        <w:pStyle w:val="Heading3"/>
      </w:pPr>
      <w:r w:rsidRPr="003E3D51">
        <w:lastRenderedPageBreak/>
        <w:t>5.2 Participation</w:t>
      </w:r>
      <w:r w:rsidR="00712EB8">
        <w:t xml:space="preserve"> in Training</w:t>
      </w:r>
    </w:p>
    <w:p w14:paraId="3EF86599" w14:textId="19803163" w:rsidR="00C6086E" w:rsidRPr="00C6086E" w:rsidRDefault="00C6086E" w:rsidP="00C6086E">
      <w:pPr>
        <w:pStyle w:val="Heading3"/>
        <w:rPr>
          <w:rFonts w:eastAsiaTheme="minorHAnsi" w:cstheme="minorBidi"/>
          <w:color w:val="auto"/>
          <w:szCs w:val="22"/>
        </w:rPr>
      </w:pPr>
      <w:r w:rsidRPr="00C6086E">
        <w:rPr>
          <w:rFonts w:eastAsiaTheme="minorHAnsi" w:cstheme="minorBidi"/>
          <w:color w:val="auto"/>
          <w:szCs w:val="22"/>
        </w:rPr>
        <w:t xml:space="preserve">NTM </w:t>
      </w:r>
      <w:r>
        <w:rPr>
          <w:rFonts w:eastAsiaTheme="minorHAnsi" w:cstheme="minorBidi"/>
          <w:color w:val="auto"/>
          <w:szCs w:val="22"/>
        </w:rPr>
        <w:t>promotes</w:t>
      </w:r>
      <w:r w:rsidRPr="00C6086E">
        <w:rPr>
          <w:rFonts w:eastAsiaTheme="minorHAnsi" w:cstheme="minorBidi"/>
          <w:color w:val="auto"/>
          <w:szCs w:val="22"/>
        </w:rPr>
        <w:t xml:space="preserve"> equal access to education and training for all </w:t>
      </w:r>
      <w:r w:rsidR="00712EB8">
        <w:rPr>
          <w:rFonts w:eastAsiaTheme="minorHAnsi" w:cstheme="minorBidi"/>
          <w:color w:val="auto"/>
          <w:szCs w:val="22"/>
        </w:rPr>
        <w:t>learner</w:t>
      </w:r>
      <w:r w:rsidRPr="00C6086E">
        <w:rPr>
          <w:rFonts w:eastAsiaTheme="minorHAnsi" w:cstheme="minorBidi"/>
          <w:color w:val="auto"/>
          <w:szCs w:val="22"/>
        </w:rPr>
        <w:t>s. We achieve this by:</w:t>
      </w:r>
    </w:p>
    <w:p w14:paraId="73672E1D" w14:textId="45260EC9" w:rsidR="00C6086E" w:rsidRPr="00C6086E" w:rsidRDefault="000711DF" w:rsidP="00722056">
      <w:pPr>
        <w:pStyle w:val="Heading3"/>
        <w:numPr>
          <w:ilvl w:val="0"/>
          <w:numId w:val="10"/>
        </w:numPr>
        <w:spacing w:before="0" w:after="0"/>
        <w:ind w:left="714" w:hanging="357"/>
        <w:rPr>
          <w:rFonts w:eastAsiaTheme="minorHAnsi" w:cstheme="minorBidi"/>
          <w:color w:val="auto"/>
          <w:szCs w:val="22"/>
        </w:rPr>
      </w:pPr>
      <w:r w:rsidRPr="003E3D51">
        <w:rPr>
          <w:rFonts w:eastAsiaTheme="minorHAnsi" w:cstheme="minorBidi"/>
          <w:b/>
          <w:bCs/>
          <w:color w:val="auto"/>
          <w:szCs w:val="22"/>
        </w:rPr>
        <w:t>Facilitating</w:t>
      </w:r>
      <w:r w:rsidR="00C6086E" w:rsidRPr="003E3D51">
        <w:rPr>
          <w:rFonts w:eastAsiaTheme="minorHAnsi" w:cstheme="minorBidi"/>
          <w:b/>
          <w:bCs/>
          <w:color w:val="auto"/>
          <w:szCs w:val="22"/>
        </w:rPr>
        <w:t xml:space="preserve"> participation</w:t>
      </w:r>
      <w:r w:rsidR="00C6086E" w:rsidRPr="00C6086E">
        <w:rPr>
          <w:rFonts w:eastAsiaTheme="minorHAnsi" w:cstheme="minorBidi"/>
          <w:color w:val="auto"/>
          <w:szCs w:val="22"/>
        </w:rPr>
        <w:t xml:space="preserve"> in courses, programs, services, and facilities for all </w:t>
      </w:r>
      <w:r w:rsidR="00712EB8">
        <w:rPr>
          <w:rFonts w:eastAsiaTheme="minorHAnsi" w:cstheme="minorBidi"/>
          <w:color w:val="auto"/>
          <w:szCs w:val="22"/>
        </w:rPr>
        <w:t>learner</w:t>
      </w:r>
      <w:r w:rsidR="00C6086E" w:rsidRPr="00C6086E">
        <w:rPr>
          <w:rFonts w:eastAsiaTheme="minorHAnsi" w:cstheme="minorBidi"/>
          <w:color w:val="auto"/>
          <w:szCs w:val="22"/>
        </w:rPr>
        <w:t>s, regardless of disability</w:t>
      </w:r>
      <w:r w:rsidR="00712EB8">
        <w:rPr>
          <w:rFonts w:eastAsiaTheme="minorHAnsi" w:cstheme="minorBidi"/>
          <w:color w:val="auto"/>
          <w:szCs w:val="22"/>
        </w:rPr>
        <w:t xml:space="preserve"> or LLND needs</w:t>
      </w:r>
      <w:r w:rsidR="00C6086E" w:rsidRPr="00C6086E">
        <w:rPr>
          <w:rFonts w:eastAsiaTheme="minorHAnsi" w:cstheme="minorBidi"/>
          <w:color w:val="auto"/>
          <w:szCs w:val="22"/>
        </w:rPr>
        <w:t>.</w:t>
      </w:r>
    </w:p>
    <w:p w14:paraId="5860FF9A" w14:textId="389981AB" w:rsidR="00C6086E" w:rsidRPr="00C6086E" w:rsidRDefault="00C6086E" w:rsidP="00722056">
      <w:pPr>
        <w:pStyle w:val="Heading3"/>
        <w:numPr>
          <w:ilvl w:val="0"/>
          <w:numId w:val="10"/>
        </w:numPr>
        <w:spacing w:before="0" w:after="0"/>
        <w:ind w:left="714" w:hanging="357"/>
        <w:rPr>
          <w:rFonts w:eastAsiaTheme="minorHAnsi" w:cstheme="minorBidi"/>
          <w:color w:val="auto"/>
          <w:szCs w:val="22"/>
        </w:rPr>
      </w:pPr>
      <w:r w:rsidRPr="003E3D51">
        <w:rPr>
          <w:rFonts w:eastAsiaTheme="minorHAnsi" w:cstheme="minorBidi"/>
          <w:b/>
          <w:bCs/>
          <w:color w:val="auto"/>
          <w:szCs w:val="22"/>
        </w:rPr>
        <w:t>Providing reasonable</w:t>
      </w:r>
      <w:r w:rsidRPr="00C6086E">
        <w:rPr>
          <w:rFonts w:eastAsiaTheme="minorHAnsi" w:cstheme="minorBidi"/>
          <w:color w:val="auto"/>
          <w:szCs w:val="22"/>
        </w:rPr>
        <w:t xml:space="preserve"> adjustments </w:t>
      </w:r>
      <w:r w:rsidR="00712EB8">
        <w:rPr>
          <w:rFonts w:eastAsiaTheme="minorHAnsi" w:cstheme="minorBidi"/>
          <w:color w:val="auto"/>
          <w:szCs w:val="22"/>
        </w:rPr>
        <w:t xml:space="preserve">in training </w:t>
      </w:r>
      <w:r w:rsidRPr="00C6086E">
        <w:rPr>
          <w:rFonts w:eastAsiaTheme="minorHAnsi" w:cstheme="minorBidi"/>
          <w:color w:val="auto"/>
          <w:szCs w:val="22"/>
        </w:rPr>
        <w:t xml:space="preserve">to ensure </w:t>
      </w:r>
      <w:r w:rsidR="00712EB8">
        <w:rPr>
          <w:rFonts w:eastAsiaTheme="minorHAnsi" w:cstheme="minorBidi"/>
          <w:color w:val="auto"/>
          <w:szCs w:val="22"/>
        </w:rPr>
        <w:t>learner</w:t>
      </w:r>
      <w:r w:rsidRPr="00C6086E">
        <w:rPr>
          <w:rFonts w:eastAsiaTheme="minorHAnsi" w:cstheme="minorBidi"/>
          <w:color w:val="auto"/>
          <w:szCs w:val="22"/>
        </w:rPr>
        <w:t xml:space="preserve">s with disabilities </w:t>
      </w:r>
      <w:r w:rsidR="000711DF">
        <w:rPr>
          <w:rFonts w:eastAsiaTheme="minorHAnsi" w:cstheme="minorBidi"/>
          <w:color w:val="auto"/>
          <w:szCs w:val="22"/>
        </w:rPr>
        <w:t xml:space="preserve">and LLND needs </w:t>
      </w:r>
      <w:r w:rsidRPr="00C6086E">
        <w:rPr>
          <w:rFonts w:eastAsiaTheme="minorHAnsi" w:cstheme="minorBidi"/>
          <w:color w:val="auto"/>
          <w:szCs w:val="22"/>
        </w:rPr>
        <w:t>can participate alongside their peers.</w:t>
      </w:r>
    </w:p>
    <w:p w14:paraId="1C3A9489" w14:textId="559CF6B8" w:rsidR="00C6086E" w:rsidRPr="00C6086E" w:rsidRDefault="000711DF" w:rsidP="00722056">
      <w:pPr>
        <w:pStyle w:val="Heading3"/>
        <w:numPr>
          <w:ilvl w:val="0"/>
          <w:numId w:val="10"/>
        </w:numPr>
        <w:spacing w:before="0" w:after="0"/>
        <w:ind w:left="714" w:hanging="357"/>
        <w:rPr>
          <w:rFonts w:eastAsiaTheme="minorHAnsi" w:cstheme="minorBidi"/>
          <w:color w:val="auto"/>
          <w:szCs w:val="22"/>
        </w:rPr>
      </w:pPr>
      <w:r w:rsidRPr="003E3D51">
        <w:rPr>
          <w:rFonts w:eastAsiaTheme="minorHAnsi" w:cstheme="minorBidi"/>
          <w:b/>
          <w:bCs/>
          <w:color w:val="auto"/>
          <w:szCs w:val="22"/>
        </w:rPr>
        <w:t xml:space="preserve">Consulting with </w:t>
      </w:r>
      <w:r w:rsidR="00712EB8">
        <w:rPr>
          <w:rFonts w:eastAsiaTheme="minorHAnsi" w:cstheme="minorBidi"/>
          <w:b/>
          <w:bCs/>
          <w:color w:val="auto"/>
          <w:szCs w:val="22"/>
        </w:rPr>
        <w:t>learner</w:t>
      </w:r>
      <w:r w:rsidRPr="003E3D51">
        <w:rPr>
          <w:rFonts w:eastAsiaTheme="minorHAnsi" w:cstheme="minorBidi"/>
          <w:b/>
          <w:bCs/>
          <w:color w:val="auto"/>
          <w:szCs w:val="22"/>
        </w:rPr>
        <w:t>s and their carers</w:t>
      </w:r>
      <w:r>
        <w:rPr>
          <w:rFonts w:eastAsiaTheme="minorHAnsi" w:cstheme="minorBidi"/>
          <w:color w:val="auto"/>
          <w:szCs w:val="22"/>
        </w:rPr>
        <w:t xml:space="preserve"> about their learning needs.</w:t>
      </w:r>
      <w:r w:rsidR="00C6086E" w:rsidRPr="00C6086E">
        <w:rPr>
          <w:rFonts w:eastAsiaTheme="minorHAnsi" w:cstheme="minorBidi"/>
          <w:color w:val="auto"/>
          <w:szCs w:val="22"/>
        </w:rPr>
        <w:t xml:space="preserve"> These consultations focus on understanding the impact of a disability</w:t>
      </w:r>
      <w:r w:rsidR="00CC0D42">
        <w:rPr>
          <w:rFonts w:eastAsiaTheme="minorHAnsi" w:cstheme="minorBidi"/>
          <w:color w:val="auto"/>
          <w:szCs w:val="22"/>
        </w:rPr>
        <w:t xml:space="preserve"> and LLND's</w:t>
      </w:r>
      <w:r w:rsidR="00CF0768">
        <w:rPr>
          <w:rFonts w:eastAsiaTheme="minorHAnsi" w:cstheme="minorBidi"/>
          <w:color w:val="auto"/>
          <w:szCs w:val="22"/>
        </w:rPr>
        <w:t xml:space="preserve"> needs </w:t>
      </w:r>
      <w:r w:rsidR="00C6086E" w:rsidRPr="00C6086E">
        <w:rPr>
          <w:rFonts w:eastAsiaTheme="minorHAnsi" w:cstheme="minorBidi"/>
          <w:color w:val="auto"/>
          <w:szCs w:val="22"/>
        </w:rPr>
        <w:t>on participation and identifying necessary adjustments.</w:t>
      </w:r>
    </w:p>
    <w:p w14:paraId="0AA6BF51" w14:textId="7BD52D0A" w:rsidR="00C6086E" w:rsidRDefault="00CC0D42" w:rsidP="00722056">
      <w:pPr>
        <w:pStyle w:val="Heading3"/>
        <w:numPr>
          <w:ilvl w:val="0"/>
          <w:numId w:val="10"/>
        </w:numPr>
        <w:spacing w:before="0" w:after="0"/>
        <w:ind w:left="714" w:hanging="357"/>
        <w:rPr>
          <w:rFonts w:eastAsiaTheme="minorHAnsi" w:cstheme="minorBidi"/>
          <w:color w:val="auto"/>
          <w:szCs w:val="22"/>
        </w:rPr>
      </w:pPr>
      <w:r>
        <w:rPr>
          <w:rFonts w:eastAsiaTheme="minorHAnsi" w:cstheme="minorBidi"/>
          <w:b/>
          <w:bCs/>
          <w:color w:val="auto"/>
          <w:szCs w:val="22"/>
        </w:rPr>
        <w:t xml:space="preserve">Collaborating with </w:t>
      </w:r>
      <w:r w:rsidR="00712EB8">
        <w:rPr>
          <w:rFonts w:eastAsiaTheme="minorHAnsi" w:cstheme="minorBidi"/>
          <w:b/>
          <w:bCs/>
          <w:color w:val="auto"/>
          <w:szCs w:val="22"/>
        </w:rPr>
        <w:t>learner</w:t>
      </w:r>
      <w:r>
        <w:rPr>
          <w:rFonts w:eastAsiaTheme="minorHAnsi" w:cstheme="minorBidi"/>
          <w:b/>
          <w:bCs/>
          <w:color w:val="auto"/>
          <w:szCs w:val="22"/>
        </w:rPr>
        <w:t xml:space="preserve">s throughout the learning journey, </w:t>
      </w:r>
      <w:r w:rsidRPr="00CC0D42">
        <w:rPr>
          <w:rFonts w:eastAsiaTheme="minorHAnsi" w:cstheme="minorBidi"/>
          <w:color w:val="auto"/>
          <w:szCs w:val="22"/>
        </w:rPr>
        <w:t xml:space="preserve">from enrolment, training, and assessment to course completion, to incorporate </w:t>
      </w:r>
      <w:r w:rsidR="00712EB8">
        <w:rPr>
          <w:rFonts w:eastAsiaTheme="minorHAnsi" w:cstheme="minorBidi"/>
          <w:color w:val="auto"/>
          <w:szCs w:val="22"/>
        </w:rPr>
        <w:t xml:space="preserve">UDL </w:t>
      </w:r>
      <w:r w:rsidRPr="00CC0D42">
        <w:rPr>
          <w:rFonts w:eastAsiaTheme="minorHAnsi" w:cstheme="minorBidi"/>
          <w:color w:val="auto"/>
          <w:szCs w:val="22"/>
        </w:rPr>
        <w:t>principles and reasonable adjustments</w:t>
      </w:r>
      <w:r w:rsidR="003E3D51" w:rsidRPr="00CC0D42">
        <w:rPr>
          <w:rFonts w:eastAsiaTheme="minorHAnsi" w:cstheme="minorBidi"/>
          <w:color w:val="auto"/>
          <w:szCs w:val="22"/>
        </w:rPr>
        <w:t xml:space="preserve">. </w:t>
      </w:r>
    </w:p>
    <w:p w14:paraId="298688D5" w14:textId="1AFF1F86" w:rsidR="00712EB8" w:rsidRDefault="00712EB8" w:rsidP="00712EB8">
      <w:pPr>
        <w:pStyle w:val="Heading3"/>
      </w:pPr>
      <w:r w:rsidRPr="00550157">
        <w:t xml:space="preserve">5.3 </w:t>
      </w:r>
      <w:r>
        <w:t>Assessment</w:t>
      </w:r>
    </w:p>
    <w:p w14:paraId="293C105F" w14:textId="77777777" w:rsidR="00712EB8" w:rsidRPr="008A0EC2" w:rsidRDefault="00712EB8" w:rsidP="00712EB8">
      <w:pPr>
        <w:pStyle w:val="Heading3"/>
        <w:rPr>
          <w:rFonts w:eastAsiaTheme="minorHAnsi" w:cstheme="minorBidi"/>
          <w:color w:val="auto"/>
          <w:szCs w:val="22"/>
        </w:rPr>
      </w:pPr>
      <w:r w:rsidRPr="008A0EC2">
        <w:rPr>
          <w:rFonts w:eastAsiaTheme="minorHAnsi" w:cstheme="minorBidi"/>
          <w:color w:val="auto"/>
          <w:szCs w:val="22"/>
        </w:rPr>
        <w:t xml:space="preserve">NTM champions equal participation in courses for all </w:t>
      </w:r>
      <w:r>
        <w:rPr>
          <w:rFonts w:eastAsiaTheme="minorHAnsi" w:cstheme="minorBidi"/>
          <w:color w:val="auto"/>
          <w:szCs w:val="22"/>
        </w:rPr>
        <w:t>learner</w:t>
      </w:r>
      <w:r w:rsidRPr="008A0EC2">
        <w:rPr>
          <w:rFonts w:eastAsiaTheme="minorHAnsi" w:cstheme="minorBidi"/>
          <w:color w:val="auto"/>
          <w:szCs w:val="22"/>
        </w:rPr>
        <w:t xml:space="preserve">s, regardless of disability or </w:t>
      </w:r>
      <w:r>
        <w:rPr>
          <w:rFonts w:eastAsiaTheme="minorHAnsi" w:cstheme="minorBidi"/>
          <w:color w:val="auto"/>
          <w:szCs w:val="22"/>
        </w:rPr>
        <w:t>LLND</w:t>
      </w:r>
      <w:r w:rsidRPr="008A0EC2">
        <w:rPr>
          <w:rFonts w:eastAsiaTheme="minorHAnsi" w:cstheme="minorBidi"/>
          <w:color w:val="auto"/>
          <w:szCs w:val="22"/>
        </w:rPr>
        <w:t xml:space="preserve"> needs.</w:t>
      </w:r>
    </w:p>
    <w:p w14:paraId="004CE0CF" w14:textId="77777777" w:rsidR="00712EB8" w:rsidRPr="008A0EC2" w:rsidRDefault="00712EB8" w:rsidP="00712EB8">
      <w:pPr>
        <w:pStyle w:val="Heading3"/>
        <w:rPr>
          <w:rFonts w:eastAsiaTheme="minorHAnsi" w:cstheme="minorBidi"/>
          <w:color w:val="auto"/>
          <w:szCs w:val="22"/>
        </w:rPr>
      </w:pPr>
      <w:r w:rsidRPr="008A0EC2">
        <w:rPr>
          <w:rFonts w:eastAsiaTheme="minorHAnsi" w:cstheme="minorBidi"/>
          <w:color w:val="auto"/>
          <w:szCs w:val="22"/>
        </w:rPr>
        <w:t>We achieve this by:</w:t>
      </w:r>
    </w:p>
    <w:p w14:paraId="205925F1" w14:textId="77777777" w:rsidR="00712EB8" w:rsidRPr="008A0EC2" w:rsidRDefault="00712EB8" w:rsidP="00712EB8">
      <w:pPr>
        <w:pStyle w:val="Heading3"/>
        <w:numPr>
          <w:ilvl w:val="0"/>
          <w:numId w:val="8"/>
        </w:numPr>
        <w:spacing w:before="100" w:beforeAutospacing="1" w:after="100" w:afterAutospacing="1" w:line="240" w:lineRule="auto"/>
        <w:ind w:left="714" w:hanging="357"/>
        <w:rPr>
          <w:rFonts w:eastAsiaTheme="minorHAnsi" w:cstheme="minorBidi"/>
          <w:color w:val="auto"/>
          <w:szCs w:val="22"/>
        </w:rPr>
      </w:pPr>
      <w:r w:rsidRPr="008A0EC2">
        <w:rPr>
          <w:rFonts w:eastAsiaTheme="minorHAnsi" w:cstheme="minorBidi"/>
          <w:b/>
          <w:bCs/>
          <w:color w:val="auto"/>
          <w:szCs w:val="22"/>
        </w:rPr>
        <w:t>Proactively designing and delivering</w:t>
      </w:r>
      <w:r w:rsidRPr="008A0EC2">
        <w:rPr>
          <w:rFonts w:eastAsiaTheme="minorHAnsi" w:cstheme="minorBidi"/>
          <w:color w:val="auto"/>
          <w:szCs w:val="22"/>
        </w:rPr>
        <w:t xml:space="preserve"> training and assessments </w:t>
      </w:r>
      <w:r>
        <w:rPr>
          <w:rFonts w:eastAsiaTheme="minorHAnsi" w:cstheme="minorBidi"/>
          <w:color w:val="auto"/>
          <w:szCs w:val="22"/>
        </w:rPr>
        <w:t>incorporating</w:t>
      </w:r>
      <w:r w:rsidRPr="008A0EC2">
        <w:rPr>
          <w:rFonts w:eastAsiaTheme="minorHAnsi" w:cstheme="minorBidi"/>
          <w:color w:val="auto"/>
          <w:szCs w:val="22"/>
        </w:rPr>
        <w:t xml:space="preserve"> Universal Design for Learning (UDL) principles.</w:t>
      </w:r>
    </w:p>
    <w:p w14:paraId="17113FA2" w14:textId="7A57F280" w:rsidR="00712EB8" w:rsidRPr="008A0EC2" w:rsidRDefault="00712EB8" w:rsidP="00712EB8">
      <w:pPr>
        <w:pStyle w:val="Heading3"/>
        <w:numPr>
          <w:ilvl w:val="0"/>
          <w:numId w:val="8"/>
        </w:numPr>
        <w:spacing w:before="100" w:beforeAutospacing="1" w:after="100" w:afterAutospacing="1" w:line="240" w:lineRule="auto"/>
        <w:ind w:left="714" w:hanging="357"/>
        <w:rPr>
          <w:rFonts w:eastAsiaTheme="minorHAnsi" w:cstheme="minorBidi"/>
          <w:color w:val="auto"/>
          <w:szCs w:val="22"/>
        </w:rPr>
      </w:pPr>
      <w:r w:rsidRPr="008A0EC2">
        <w:rPr>
          <w:rFonts w:eastAsiaTheme="minorHAnsi" w:cstheme="minorBidi"/>
          <w:b/>
          <w:bCs/>
          <w:color w:val="auto"/>
          <w:szCs w:val="22"/>
        </w:rPr>
        <w:t>Providing reasonable adjustments</w:t>
      </w:r>
      <w:r w:rsidRPr="008A0EC2">
        <w:rPr>
          <w:rFonts w:eastAsiaTheme="minorHAnsi" w:cstheme="minorBidi"/>
          <w:color w:val="auto"/>
          <w:szCs w:val="22"/>
        </w:rPr>
        <w:t xml:space="preserve"> </w:t>
      </w:r>
      <w:r>
        <w:rPr>
          <w:rFonts w:eastAsiaTheme="minorHAnsi" w:cstheme="minorBidi"/>
          <w:color w:val="auto"/>
          <w:szCs w:val="22"/>
        </w:rPr>
        <w:t xml:space="preserve">in assessments </w:t>
      </w:r>
      <w:r w:rsidRPr="008A0EC2">
        <w:rPr>
          <w:rFonts w:eastAsiaTheme="minorHAnsi" w:cstheme="minorBidi"/>
          <w:color w:val="auto"/>
          <w:szCs w:val="22"/>
        </w:rPr>
        <w:t xml:space="preserve">to cater to individual </w:t>
      </w:r>
      <w:r>
        <w:rPr>
          <w:rFonts w:eastAsiaTheme="minorHAnsi" w:cstheme="minorBidi"/>
          <w:color w:val="auto"/>
          <w:szCs w:val="22"/>
        </w:rPr>
        <w:t>learner</w:t>
      </w:r>
      <w:r w:rsidRPr="008A0EC2">
        <w:rPr>
          <w:rFonts w:eastAsiaTheme="minorHAnsi" w:cstheme="minorBidi"/>
          <w:color w:val="auto"/>
          <w:szCs w:val="22"/>
        </w:rPr>
        <w:t xml:space="preserve"> needs.</w:t>
      </w:r>
    </w:p>
    <w:p w14:paraId="0BC2EABE" w14:textId="77777777" w:rsidR="00712EB8" w:rsidRPr="008A0EC2" w:rsidRDefault="00712EB8" w:rsidP="00712EB8">
      <w:pPr>
        <w:pStyle w:val="Heading3"/>
        <w:numPr>
          <w:ilvl w:val="0"/>
          <w:numId w:val="8"/>
        </w:numPr>
        <w:spacing w:before="100" w:beforeAutospacing="1" w:after="100" w:afterAutospacing="1" w:line="240" w:lineRule="auto"/>
        <w:ind w:left="714" w:hanging="357"/>
        <w:rPr>
          <w:rFonts w:eastAsiaTheme="minorHAnsi" w:cstheme="minorBidi"/>
          <w:color w:val="auto"/>
          <w:szCs w:val="22"/>
        </w:rPr>
      </w:pPr>
      <w:r w:rsidRPr="008A0EC2">
        <w:rPr>
          <w:rFonts w:eastAsiaTheme="minorHAnsi" w:cstheme="minorBidi"/>
          <w:b/>
          <w:bCs/>
          <w:color w:val="auto"/>
          <w:szCs w:val="22"/>
        </w:rPr>
        <w:t xml:space="preserve">Empowering </w:t>
      </w:r>
      <w:r>
        <w:rPr>
          <w:rFonts w:eastAsiaTheme="minorHAnsi" w:cstheme="minorBidi"/>
          <w:b/>
          <w:bCs/>
          <w:color w:val="auto"/>
          <w:szCs w:val="22"/>
        </w:rPr>
        <w:t>learner</w:t>
      </w:r>
      <w:r w:rsidRPr="008A0EC2">
        <w:rPr>
          <w:rFonts w:eastAsiaTheme="minorHAnsi" w:cstheme="minorBidi"/>
          <w:b/>
          <w:bCs/>
          <w:color w:val="auto"/>
          <w:szCs w:val="22"/>
        </w:rPr>
        <w:t>s</w:t>
      </w:r>
      <w:r w:rsidRPr="008A0EC2">
        <w:rPr>
          <w:rFonts w:eastAsiaTheme="minorHAnsi" w:cstheme="minorBidi"/>
          <w:color w:val="auto"/>
          <w:szCs w:val="22"/>
        </w:rPr>
        <w:t xml:space="preserve"> with disabilities and LLND</w:t>
      </w:r>
      <w:r>
        <w:rPr>
          <w:rFonts w:eastAsiaTheme="minorHAnsi" w:cstheme="minorBidi"/>
          <w:color w:val="auto"/>
          <w:szCs w:val="22"/>
        </w:rPr>
        <w:t xml:space="preserve"> needs</w:t>
      </w:r>
      <w:r w:rsidRPr="008A0EC2">
        <w:rPr>
          <w:rFonts w:eastAsiaTheme="minorHAnsi" w:cstheme="minorBidi"/>
          <w:color w:val="auto"/>
          <w:szCs w:val="22"/>
        </w:rPr>
        <w:t xml:space="preserve"> to fully develop their knowledge, skills, and abilities alongside their peers.</w:t>
      </w:r>
    </w:p>
    <w:p w14:paraId="4FB43A0A" w14:textId="77777777" w:rsidR="00712EB8" w:rsidRPr="00722056" w:rsidRDefault="00712EB8" w:rsidP="00712EB8">
      <w:pPr>
        <w:pStyle w:val="Heading3"/>
        <w:numPr>
          <w:ilvl w:val="0"/>
          <w:numId w:val="8"/>
        </w:numPr>
        <w:spacing w:before="100" w:beforeAutospacing="1" w:after="100" w:afterAutospacing="1" w:line="240" w:lineRule="auto"/>
        <w:ind w:left="714" w:hanging="357"/>
      </w:pPr>
      <w:r w:rsidRPr="00722056">
        <w:rPr>
          <w:rFonts w:eastAsiaTheme="minorHAnsi" w:cstheme="minorBidi"/>
          <w:b/>
          <w:bCs/>
          <w:color w:val="auto"/>
          <w:szCs w:val="22"/>
        </w:rPr>
        <w:t>Investing in professional development</w:t>
      </w:r>
      <w:r w:rsidRPr="008A0EC2">
        <w:rPr>
          <w:rFonts w:eastAsiaTheme="minorHAnsi" w:cstheme="minorBidi"/>
          <w:color w:val="auto"/>
          <w:szCs w:val="22"/>
        </w:rPr>
        <w:t xml:space="preserve"> training for both teaching and non-teaching staff. This training fosters a culture of inclusion that embraces </w:t>
      </w:r>
      <w:r>
        <w:rPr>
          <w:rFonts w:eastAsiaTheme="minorHAnsi" w:cstheme="minorBidi"/>
          <w:color w:val="auto"/>
          <w:szCs w:val="22"/>
        </w:rPr>
        <w:t>learner</w:t>
      </w:r>
      <w:r w:rsidRPr="008A0EC2">
        <w:rPr>
          <w:rFonts w:eastAsiaTheme="minorHAnsi" w:cstheme="minorBidi"/>
          <w:color w:val="auto"/>
          <w:szCs w:val="22"/>
        </w:rPr>
        <w:t>s with disabilities and supports those with LLND</w:t>
      </w:r>
      <w:r>
        <w:rPr>
          <w:rFonts w:eastAsiaTheme="minorHAnsi" w:cstheme="minorBidi"/>
          <w:color w:val="auto"/>
          <w:szCs w:val="22"/>
        </w:rPr>
        <w:t xml:space="preserve"> needs</w:t>
      </w:r>
      <w:r w:rsidRPr="008A0EC2">
        <w:rPr>
          <w:rFonts w:eastAsiaTheme="minorHAnsi" w:cstheme="minorBidi"/>
          <w:color w:val="auto"/>
          <w:szCs w:val="22"/>
        </w:rPr>
        <w:t>.</w:t>
      </w:r>
    </w:p>
    <w:p w14:paraId="50236241" w14:textId="77777777" w:rsidR="00712EB8" w:rsidRPr="00722056" w:rsidRDefault="00712EB8" w:rsidP="00712EB8">
      <w:pPr>
        <w:pStyle w:val="ListParagraph"/>
        <w:numPr>
          <w:ilvl w:val="0"/>
          <w:numId w:val="8"/>
        </w:numPr>
        <w:spacing w:before="100" w:beforeAutospacing="1" w:after="100" w:afterAutospacing="1" w:line="240" w:lineRule="auto"/>
        <w:ind w:left="714" w:hanging="357"/>
      </w:pPr>
      <w:r w:rsidRPr="00722056">
        <w:rPr>
          <w:b/>
          <w:bCs/>
        </w:rPr>
        <w:t>Incorporating UDL principles</w:t>
      </w:r>
      <w:r w:rsidRPr="00722056">
        <w:t xml:space="preserve"> in our training products, including assessments, learning materials and TAS. </w:t>
      </w:r>
    </w:p>
    <w:p w14:paraId="787D4288" w14:textId="77777777" w:rsidR="00712EB8" w:rsidRDefault="00712EB8" w:rsidP="00712EB8">
      <w:pPr>
        <w:pStyle w:val="Heading3"/>
      </w:pPr>
      <w:r>
        <w:t>5.4 Learner</w:t>
      </w:r>
      <w:r w:rsidRPr="00F1449D">
        <w:t xml:space="preserve"> support services</w:t>
      </w:r>
    </w:p>
    <w:p w14:paraId="786E6353" w14:textId="77777777" w:rsidR="00712EB8" w:rsidRPr="00BC6D97" w:rsidRDefault="00712EB8" w:rsidP="00712EB8">
      <w:pPr>
        <w:shd w:val="clear" w:color="auto" w:fill="FFFFFF"/>
        <w:spacing w:before="100" w:beforeAutospacing="1" w:after="100" w:afterAutospacing="1" w:line="240" w:lineRule="auto"/>
        <w:rPr>
          <w:rFonts w:eastAsia="Times New Roman" w:cs="Calibri"/>
          <w:color w:val="1F1F1F"/>
          <w:kern w:val="0"/>
          <w:szCs w:val="24"/>
          <w:lang w:eastAsia="en-AU"/>
          <w14:ligatures w14:val="none"/>
        </w:rPr>
      </w:pPr>
      <w:r w:rsidRPr="00BC6D97">
        <w:rPr>
          <w:rFonts w:eastAsia="Times New Roman" w:cs="Calibri"/>
          <w:color w:val="1F1F1F"/>
          <w:kern w:val="0"/>
          <w:szCs w:val="24"/>
          <w:lang w:eastAsia="en-AU"/>
          <w14:ligatures w14:val="none"/>
        </w:rPr>
        <w:t xml:space="preserve">NTM ensures equal access to </w:t>
      </w:r>
      <w:r>
        <w:rPr>
          <w:rFonts w:eastAsia="Times New Roman" w:cs="Calibri"/>
          <w:color w:val="1F1F1F"/>
          <w:kern w:val="0"/>
          <w:szCs w:val="24"/>
          <w:lang w:eastAsia="en-AU"/>
          <w14:ligatures w14:val="none"/>
        </w:rPr>
        <w:t>learner</w:t>
      </w:r>
      <w:r w:rsidRPr="00BC6D97">
        <w:rPr>
          <w:rFonts w:eastAsia="Times New Roman" w:cs="Calibri"/>
          <w:color w:val="1F1F1F"/>
          <w:kern w:val="0"/>
          <w:szCs w:val="24"/>
          <w:lang w:eastAsia="en-AU"/>
          <w14:ligatures w14:val="none"/>
        </w:rPr>
        <w:t xml:space="preserve"> support services for all </w:t>
      </w:r>
      <w:r>
        <w:rPr>
          <w:rFonts w:eastAsia="Times New Roman" w:cs="Calibri"/>
          <w:color w:val="1F1F1F"/>
          <w:kern w:val="0"/>
          <w:szCs w:val="24"/>
          <w:lang w:eastAsia="en-AU"/>
          <w14:ligatures w14:val="none"/>
        </w:rPr>
        <w:t>learner</w:t>
      </w:r>
      <w:r w:rsidRPr="00BC6D97">
        <w:rPr>
          <w:rFonts w:eastAsia="Times New Roman" w:cs="Calibri"/>
          <w:color w:val="1F1F1F"/>
          <w:kern w:val="0"/>
          <w:szCs w:val="24"/>
          <w:lang w:eastAsia="en-AU"/>
          <w14:ligatures w14:val="none"/>
        </w:rPr>
        <w:t>s, regardless of disability or LLND issues. This commitment includes:</w:t>
      </w:r>
    </w:p>
    <w:p w14:paraId="3DE5542C" w14:textId="77777777" w:rsidR="00712EB8" w:rsidRPr="00BC6D97" w:rsidRDefault="00712EB8" w:rsidP="00712EB8">
      <w:pPr>
        <w:numPr>
          <w:ilvl w:val="0"/>
          <w:numId w:val="7"/>
        </w:numPr>
        <w:shd w:val="clear" w:color="auto" w:fill="FFFFFF"/>
        <w:spacing w:before="100" w:beforeAutospacing="1" w:after="0" w:line="240" w:lineRule="auto"/>
        <w:rPr>
          <w:rFonts w:eastAsia="Times New Roman" w:cs="Calibri"/>
          <w:color w:val="1F1F1F"/>
          <w:kern w:val="0"/>
          <w:szCs w:val="24"/>
          <w:lang w:eastAsia="en-AU"/>
          <w14:ligatures w14:val="none"/>
        </w:rPr>
      </w:pPr>
      <w:r w:rsidRPr="00BC6D97">
        <w:rPr>
          <w:rFonts w:eastAsia="Times New Roman" w:cs="Calibri"/>
          <w:b/>
          <w:bCs/>
          <w:color w:val="1F1F1F"/>
          <w:kern w:val="0"/>
          <w:szCs w:val="24"/>
          <w:lang w:eastAsia="en-AU"/>
          <w14:ligatures w14:val="none"/>
        </w:rPr>
        <w:t xml:space="preserve">Providing general </w:t>
      </w:r>
      <w:r>
        <w:rPr>
          <w:rFonts w:eastAsia="Times New Roman" w:cs="Calibri"/>
          <w:b/>
          <w:bCs/>
          <w:color w:val="1F1F1F"/>
          <w:kern w:val="0"/>
          <w:szCs w:val="24"/>
          <w:lang w:eastAsia="en-AU"/>
          <w14:ligatures w14:val="none"/>
        </w:rPr>
        <w:t>learner</w:t>
      </w:r>
      <w:r w:rsidRPr="00BC6D97">
        <w:rPr>
          <w:rFonts w:eastAsia="Times New Roman" w:cs="Calibri"/>
          <w:b/>
          <w:bCs/>
          <w:color w:val="1F1F1F"/>
          <w:kern w:val="0"/>
          <w:szCs w:val="24"/>
          <w:lang w:eastAsia="en-AU"/>
          <w14:ligatures w14:val="none"/>
        </w:rPr>
        <w:t xml:space="preserve"> support services</w:t>
      </w:r>
      <w:r w:rsidRPr="00BC6D97">
        <w:rPr>
          <w:rFonts w:eastAsia="Times New Roman" w:cs="Calibri"/>
          <w:color w:val="1F1F1F"/>
          <w:kern w:val="0"/>
          <w:szCs w:val="24"/>
          <w:lang w:eastAsia="en-AU"/>
          <w14:ligatures w14:val="none"/>
        </w:rPr>
        <w:t xml:space="preserve"> on an equal basis to all </w:t>
      </w:r>
      <w:r>
        <w:rPr>
          <w:rFonts w:eastAsia="Times New Roman" w:cs="Calibri"/>
          <w:color w:val="1F1F1F"/>
          <w:kern w:val="0"/>
          <w:szCs w:val="24"/>
          <w:lang w:eastAsia="en-AU"/>
          <w14:ligatures w14:val="none"/>
        </w:rPr>
        <w:t>learner</w:t>
      </w:r>
      <w:r w:rsidRPr="00BC6D97">
        <w:rPr>
          <w:rFonts w:eastAsia="Times New Roman" w:cs="Calibri"/>
          <w:color w:val="1F1F1F"/>
          <w:kern w:val="0"/>
          <w:szCs w:val="24"/>
          <w:lang w:eastAsia="en-AU"/>
          <w14:ligatures w14:val="none"/>
        </w:rPr>
        <w:t>s.</w:t>
      </w:r>
    </w:p>
    <w:p w14:paraId="21DB00EA" w14:textId="77777777" w:rsidR="00712EB8" w:rsidRPr="00BC6D97" w:rsidRDefault="00712EB8" w:rsidP="00712EB8">
      <w:pPr>
        <w:numPr>
          <w:ilvl w:val="0"/>
          <w:numId w:val="7"/>
        </w:numPr>
        <w:shd w:val="clear" w:color="auto" w:fill="FFFFFF"/>
        <w:spacing w:before="100" w:beforeAutospacing="1" w:after="0" w:line="240" w:lineRule="auto"/>
        <w:rPr>
          <w:rFonts w:eastAsia="Times New Roman" w:cs="Calibri"/>
          <w:color w:val="1F1F1F"/>
          <w:kern w:val="0"/>
          <w:szCs w:val="24"/>
          <w:lang w:eastAsia="en-AU"/>
          <w14:ligatures w14:val="none"/>
        </w:rPr>
      </w:pPr>
      <w:r w:rsidRPr="00BC6D97">
        <w:rPr>
          <w:rFonts w:eastAsia="Times New Roman" w:cs="Calibri"/>
          <w:b/>
          <w:bCs/>
          <w:color w:val="1F1F1F"/>
          <w:kern w:val="0"/>
          <w:szCs w:val="24"/>
          <w:lang w:eastAsia="en-AU"/>
          <w14:ligatures w14:val="none"/>
        </w:rPr>
        <w:t>Identifying and offering specialised services</w:t>
      </w:r>
      <w:r w:rsidRPr="00BC6D97">
        <w:rPr>
          <w:rFonts w:eastAsia="Times New Roman" w:cs="Calibri"/>
          <w:color w:val="1F1F1F"/>
          <w:kern w:val="0"/>
          <w:szCs w:val="24"/>
          <w:lang w:eastAsia="en-AU"/>
          <w14:ligatures w14:val="none"/>
        </w:rPr>
        <w:t xml:space="preserve"> tailored to the specific needs of </w:t>
      </w:r>
      <w:r>
        <w:rPr>
          <w:rFonts w:eastAsia="Times New Roman" w:cs="Calibri"/>
          <w:color w:val="1F1F1F"/>
          <w:kern w:val="0"/>
          <w:szCs w:val="24"/>
          <w:lang w:eastAsia="en-AU"/>
          <w14:ligatures w14:val="none"/>
        </w:rPr>
        <w:t>learner</w:t>
      </w:r>
      <w:r w:rsidRPr="00BC6D97">
        <w:rPr>
          <w:rFonts w:eastAsia="Times New Roman" w:cs="Calibri"/>
          <w:color w:val="1F1F1F"/>
          <w:kern w:val="0"/>
          <w:szCs w:val="24"/>
          <w:lang w:eastAsia="en-AU"/>
          <w14:ligatures w14:val="none"/>
        </w:rPr>
        <w:t>s with disabilities, ensuring their full participation in educational activities.</w:t>
      </w:r>
    </w:p>
    <w:p w14:paraId="69BEDE2F" w14:textId="77777777" w:rsidR="00712EB8" w:rsidRPr="00BC6D97" w:rsidRDefault="00712EB8" w:rsidP="00712EB8">
      <w:pPr>
        <w:numPr>
          <w:ilvl w:val="0"/>
          <w:numId w:val="7"/>
        </w:numPr>
        <w:shd w:val="clear" w:color="auto" w:fill="FFFFFF"/>
        <w:spacing w:before="100" w:beforeAutospacing="1" w:after="0" w:line="240" w:lineRule="auto"/>
        <w:rPr>
          <w:rFonts w:ascii="Arial" w:eastAsia="Times New Roman" w:hAnsi="Arial" w:cs="Arial"/>
          <w:color w:val="1F1F1F"/>
          <w:kern w:val="0"/>
          <w:szCs w:val="24"/>
          <w:lang w:eastAsia="en-AU"/>
          <w14:ligatures w14:val="none"/>
        </w:rPr>
      </w:pPr>
      <w:r w:rsidRPr="00BC6D97">
        <w:rPr>
          <w:rFonts w:eastAsia="Times New Roman" w:cs="Calibri"/>
          <w:b/>
          <w:bCs/>
          <w:color w:val="1F1F1F"/>
          <w:kern w:val="0"/>
          <w:szCs w:val="24"/>
          <w:lang w:eastAsia="en-AU"/>
          <w14:ligatures w14:val="none"/>
        </w:rPr>
        <w:t>Actively facilitating access</w:t>
      </w:r>
      <w:r w:rsidRPr="00BC6D97">
        <w:rPr>
          <w:rFonts w:eastAsia="Times New Roman" w:cs="Calibri"/>
          <w:color w:val="1F1F1F"/>
          <w:kern w:val="0"/>
          <w:szCs w:val="24"/>
          <w:lang w:eastAsia="en-AU"/>
          <w14:ligatures w14:val="none"/>
        </w:rPr>
        <w:t xml:space="preserve"> to general and specialised support services to promote full participation in training and assessment for all </w:t>
      </w:r>
      <w:r>
        <w:rPr>
          <w:rFonts w:eastAsia="Times New Roman" w:cs="Calibri"/>
          <w:color w:val="1F1F1F"/>
          <w:kern w:val="0"/>
          <w:szCs w:val="24"/>
          <w:lang w:eastAsia="en-AU"/>
          <w14:ligatures w14:val="none"/>
        </w:rPr>
        <w:t>learner</w:t>
      </w:r>
      <w:r w:rsidRPr="00BC6D97">
        <w:rPr>
          <w:rFonts w:eastAsia="Times New Roman" w:cs="Calibri"/>
          <w:color w:val="1F1F1F"/>
          <w:kern w:val="0"/>
          <w:szCs w:val="24"/>
          <w:lang w:eastAsia="en-AU"/>
          <w14:ligatures w14:val="none"/>
        </w:rPr>
        <w:t>s</w:t>
      </w:r>
      <w:r w:rsidRPr="00BC6D97">
        <w:rPr>
          <w:rFonts w:ascii="Arial" w:eastAsia="Times New Roman" w:hAnsi="Arial" w:cs="Arial"/>
          <w:color w:val="1F1F1F"/>
          <w:kern w:val="0"/>
          <w:szCs w:val="24"/>
          <w:lang w:eastAsia="en-AU"/>
          <w14:ligatures w14:val="none"/>
        </w:rPr>
        <w:t>.</w:t>
      </w:r>
    </w:p>
    <w:p w14:paraId="5A5E8E5C" w14:textId="77777777" w:rsidR="00712EB8" w:rsidRDefault="00712EB8" w:rsidP="00712EB8">
      <w:pPr>
        <w:pStyle w:val="Heading3"/>
      </w:pPr>
      <w:r w:rsidRPr="00F76F41">
        <w:lastRenderedPageBreak/>
        <w:t>5.5 Harassment and victimisation</w:t>
      </w:r>
    </w:p>
    <w:p w14:paraId="78883EBA" w14:textId="4F2B7F57" w:rsidR="00712EB8" w:rsidRDefault="00712EB8" w:rsidP="00712EB8">
      <w:r>
        <w:t>Learners have a right to VET in an environment that is free from discrimination caused by harassment and victimisation based on their disability or LLND needs.</w:t>
      </w:r>
    </w:p>
    <w:p w14:paraId="1DDB6793" w14:textId="77777777" w:rsidR="00712EB8" w:rsidRPr="0080352B" w:rsidRDefault="00712EB8" w:rsidP="00712EB8">
      <w:r w:rsidRPr="0080352B">
        <w:rPr>
          <w:b/>
          <w:bCs/>
        </w:rPr>
        <w:t xml:space="preserve">NTM fosters a learning environment free from discrimination based on disability or LLND </w:t>
      </w:r>
      <w:r>
        <w:rPr>
          <w:b/>
          <w:bCs/>
        </w:rPr>
        <w:t>needs.</w:t>
      </w:r>
    </w:p>
    <w:p w14:paraId="05212B94" w14:textId="77777777" w:rsidR="00712EB8" w:rsidRPr="0080352B" w:rsidRDefault="00712EB8" w:rsidP="00712EB8">
      <w:r w:rsidRPr="0080352B">
        <w:t>We achieve this by:</w:t>
      </w:r>
    </w:p>
    <w:p w14:paraId="64917094" w14:textId="77777777" w:rsidR="00712EB8" w:rsidRPr="0080352B" w:rsidRDefault="00712EB8" w:rsidP="00712EB8">
      <w:pPr>
        <w:numPr>
          <w:ilvl w:val="0"/>
          <w:numId w:val="6"/>
        </w:numPr>
        <w:spacing w:after="0"/>
      </w:pPr>
      <w:r w:rsidRPr="0080352B">
        <w:rPr>
          <w:b/>
          <w:bCs/>
        </w:rPr>
        <w:t>Proactively implementing strategies</w:t>
      </w:r>
      <w:r w:rsidRPr="0080352B">
        <w:t> to prevent harassment and victimi</w:t>
      </w:r>
      <w:r>
        <w:t>s</w:t>
      </w:r>
      <w:r w:rsidRPr="0080352B">
        <w:t>ation.</w:t>
      </w:r>
    </w:p>
    <w:p w14:paraId="3A98D73A" w14:textId="77777777" w:rsidR="00712EB8" w:rsidRPr="0080352B" w:rsidRDefault="00712EB8" w:rsidP="00712EB8">
      <w:pPr>
        <w:numPr>
          <w:ilvl w:val="0"/>
          <w:numId w:val="6"/>
        </w:numPr>
        <w:spacing w:after="0"/>
      </w:pPr>
      <w:r w:rsidRPr="0080352B">
        <w:rPr>
          <w:b/>
          <w:bCs/>
        </w:rPr>
        <w:t>Providing clear communication</w:t>
      </w:r>
      <w:r w:rsidRPr="0080352B">
        <w:t xml:space="preserve"> to staff and </w:t>
      </w:r>
      <w:r>
        <w:t>learner</w:t>
      </w:r>
      <w:r w:rsidRPr="0080352B">
        <w:t>s regarding their obligations to maintain a respectful and inclusive environment.</w:t>
      </w:r>
    </w:p>
    <w:p w14:paraId="14859068" w14:textId="77777777" w:rsidR="00712EB8" w:rsidRPr="0080352B" w:rsidRDefault="00712EB8" w:rsidP="00712EB8">
      <w:pPr>
        <w:numPr>
          <w:ilvl w:val="0"/>
          <w:numId w:val="6"/>
        </w:numPr>
        <w:spacing w:after="0"/>
      </w:pPr>
      <w:r w:rsidRPr="0080352B">
        <w:rPr>
          <w:b/>
          <w:bCs/>
        </w:rPr>
        <w:t>Establishing accessible complaint mechanisms</w:t>
      </w:r>
      <w:r w:rsidRPr="0080352B">
        <w:t xml:space="preserve"> for </w:t>
      </w:r>
      <w:r>
        <w:t>learner</w:t>
      </w:r>
      <w:r w:rsidRPr="0080352B">
        <w:t xml:space="preserve">s who experience harassment or </w:t>
      </w:r>
      <w:r>
        <w:t>victimisation</w:t>
      </w:r>
      <w:r w:rsidRPr="0080352B">
        <w:t>.</w:t>
      </w:r>
    </w:p>
    <w:p w14:paraId="6301B26E" w14:textId="77777777" w:rsidR="00712EB8" w:rsidRDefault="00712EB8" w:rsidP="00712EB8">
      <w:pPr>
        <w:numPr>
          <w:ilvl w:val="0"/>
          <w:numId w:val="6"/>
        </w:numPr>
        <w:spacing w:after="0"/>
      </w:pPr>
      <w:r w:rsidRPr="0080352B">
        <w:rPr>
          <w:b/>
          <w:bCs/>
        </w:rPr>
        <w:t>Taking appropriate action</w:t>
      </w:r>
      <w:r w:rsidRPr="0080352B">
        <w:t xml:space="preserve"> to address any reported incidents of harassment or </w:t>
      </w:r>
      <w:r>
        <w:t>victimisation</w:t>
      </w:r>
      <w:r w:rsidRPr="0080352B">
        <w:t>.</w:t>
      </w:r>
    </w:p>
    <w:p w14:paraId="53271F32" w14:textId="77777777" w:rsidR="00712EB8" w:rsidRPr="0080352B" w:rsidRDefault="00712EB8" w:rsidP="00712EB8">
      <w:pPr>
        <w:spacing w:after="0"/>
        <w:ind w:left="720"/>
      </w:pPr>
    </w:p>
    <w:p w14:paraId="1EE496F6" w14:textId="77777777" w:rsidR="00712EB8" w:rsidRDefault="00712EB8" w:rsidP="00712EB8">
      <w:pPr>
        <w:pStyle w:val="Heading3"/>
      </w:pPr>
      <w:r w:rsidRPr="00481C90">
        <w:t>5.6 Implementation</w:t>
      </w:r>
      <w:r>
        <w:t xml:space="preserve"> </w:t>
      </w:r>
    </w:p>
    <w:p w14:paraId="42800E05" w14:textId="39EC0FD0" w:rsidR="00712EB8" w:rsidRPr="00B82309" w:rsidRDefault="00712EB8" w:rsidP="00712EB8">
      <w:r w:rsidRPr="00B82309">
        <w:rPr>
          <w:b/>
          <w:bCs/>
        </w:rPr>
        <w:t xml:space="preserve">NTM actively supports </w:t>
      </w:r>
      <w:r>
        <w:rPr>
          <w:b/>
          <w:bCs/>
        </w:rPr>
        <w:t>learner</w:t>
      </w:r>
      <w:r w:rsidRPr="00B82309">
        <w:rPr>
          <w:b/>
          <w:bCs/>
        </w:rPr>
        <w:t>s with disabilities and LLND needs by providing reasonable adjustments</w:t>
      </w:r>
      <w:r>
        <w:rPr>
          <w:b/>
          <w:bCs/>
        </w:rPr>
        <w:t xml:space="preserve"> throughout the learner journey</w:t>
      </w:r>
      <w:r w:rsidRPr="00B82309">
        <w:rPr>
          <w:b/>
          <w:bCs/>
        </w:rPr>
        <w:t>.</w:t>
      </w:r>
      <w:r w:rsidRPr="00B82309">
        <w:t xml:space="preserve"> These adjustments aim to create a balanced learning environment while upholding the training's integrity.</w:t>
      </w:r>
    </w:p>
    <w:p w14:paraId="45A6A790" w14:textId="77777777" w:rsidR="00712EB8" w:rsidRPr="00B82309" w:rsidRDefault="00712EB8" w:rsidP="00712EB8">
      <w:r w:rsidRPr="00B82309">
        <w:t>To determine the suitability of a proposed adjustment, NTM considers several factors:</w:t>
      </w:r>
    </w:p>
    <w:p w14:paraId="25771FAC" w14:textId="77777777" w:rsidR="00712EB8" w:rsidRPr="00B82309" w:rsidRDefault="00712EB8" w:rsidP="00712EB8">
      <w:pPr>
        <w:numPr>
          <w:ilvl w:val="0"/>
          <w:numId w:val="11"/>
        </w:numPr>
      </w:pPr>
      <w:r w:rsidRPr="00B82309">
        <w:rPr>
          <w:b/>
          <w:bCs/>
        </w:rPr>
        <w:t xml:space="preserve">The </w:t>
      </w:r>
      <w:r>
        <w:rPr>
          <w:b/>
          <w:bCs/>
        </w:rPr>
        <w:t>learner</w:t>
      </w:r>
      <w:r w:rsidRPr="00B82309">
        <w:rPr>
          <w:b/>
          <w:bCs/>
        </w:rPr>
        <w:t>'s specific needs:</w:t>
      </w:r>
      <w:r w:rsidRPr="00B82309">
        <w:t xml:space="preserve"> We carefully assess the </w:t>
      </w:r>
      <w:r>
        <w:t>learner</w:t>
      </w:r>
      <w:r w:rsidRPr="00B82309">
        <w:t xml:space="preserve">'s disability or LLND </w:t>
      </w:r>
      <w:r>
        <w:t>needs</w:t>
      </w:r>
      <w:r w:rsidRPr="00B82309">
        <w:t xml:space="preserve"> to identify the most effective support.</w:t>
      </w:r>
    </w:p>
    <w:p w14:paraId="6606D396" w14:textId="77777777" w:rsidR="00712EB8" w:rsidRPr="00B82309" w:rsidRDefault="00712EB8" w:rsidP="00712EB8">
      <w:pPr>
        <w:numPr>
          <w:ilvl w:val="0"/>
          <w:numId w:val="11"/>
        </w:numPr>
      </w:pPr>
      <w:r>
        <w:rPr>
          <w:b/>
          <w:bCs/>
        </w:rPr>
        <w:t>Learner</w:t>
      </w:r>
      <w:r w:rsidRPr="00B82309">
        <w:rPr>
          <w:b/>
          <w:bCs/>
        </w:rPr>
        <w:t xml:space="preserve"> and representative input:</w:t>
      </w:r>
      <w:r w:rsidRPr="00B82309">
        <w:t xml:space="preserve"> NTM values the perspectives of </w:t>
      </w:r>
      <w:r>
        <w:t>learner</w:t>
      </w:r>
      <w:r w:rsidRPr="00B82309">
        <w:t>s and their representatives, such as carers, when determining appropriate adjustments.</w:t>
      </w:r>
    </w:p>
    <w:p w14:paraId="2EF013FC" w14:textId="77777777" w:rsidR="00712EB8" w:rsidRPr="00B82309" w:rsidRDefault="00712EB8" w:rsidP="00712EB8">
      <w:pPr>
        <w:numPr>
          <w:ilvl w:val="0"/>
          <w:numId w:val="11"/>
        </w:numPr>
      </w:pPr>
      <w:r w:rsidRPr="00B82309">
        <w:rPr>
          <w:b/>
          <w:bCs/>
        </w:rPr>
        <w:t>Impact on all parties:</w:t>
      </w:r>
      <w:r w:rsidRPr="00B82309">
        <w:t xml:space="preserve"> We evaluate the adjustment's impact on the </w:t>
      </w:r>
      <w:r>
        <w:t>learner</w:t>
      </w:r>
      <w:r w:rsidRPr="00B82309">
        <w:t xml:space="preserve">'s participation and achievement, NTM staff, and other </w:t>
      </w:r>
      <w:r>
        <w:t>learner</w:t>
      </w:r>
      <w:r w:rsidRPr="00B82309">
        <w:t>s.</w:t>
      </w:r>
    </w:p>
    <w:p w14:paraId="4B3B7301" w14:textId="77777777" w:rsidR="00712EB8" w:rsidRPr="00B82309" w:rsidRDefault="00712EB8" w:rsidP="00712EB8">
      <w:pPr>
        <w:numPr>
          <w:ilvl w:val="0"/>
          <w:numId w:val="11"/>
        </w:numPr>
      </w:pPr>
      <w:r w:rsidRPr="00B82309">
        <w:rPr>
          <w:b/>
          <w:bCs/>
        </w:rPr>
        <w:t>Cost-benefit analysis:</w:t>
      </w:r>
      <w:r w:rsidRPr="00B82309">
        <w:t> NTM considers the feasibility and practicality of implementing the adjustment.</w:t>
      </w:r>
    </w:p>
    <w:p w14:paraId="42B7B9A4" w14:textId="55A708C8" w:rsidR="00712EB8" w:rsidRPr="00B82309" w:rsidRDefault="00712EB8" w:rsidP="00712EB8">
      <w:r w:rsidRPr="00B82309">
        <w:rPr>
          <w:b/>
          <w:bCs/>
        </w:rPr>
        <w:t xml:space="preserve">Our goal for reasonable adjustments is to empower </w:t>
      </w:r>
      <w:r>
        <w:rPr>
          <w:b/>
          <w:bCs/>
        </w:rPr>
        <w:t>learner</w:t>
      </w:r>
      <w:r w:rsidRPr="00B82309">
        <w:rPr>
          <w:b/>
          <w:bCs/>
        </w:rPr>
        <w:t>s with disabilities</w:t>
      </w:r>
      <w:r>
        <w:rPr>
          <w:b/>
          <w:bCs/>
        </w:rPr>
        <w:t>, and LLND needs to participate fully in training to not</w:t>
      </w:r>
      <w:r w:rsidRPr="00B82309">
        <w:rPr>
          <w:b/>
          <w:bCs/>
        </w:rPr>
        <w:t xml:space="preserve"> provide an unfair advantage.</w:t>
      </w:r>
      <w:r w:rsidRPr="00B82309">
        <w:t xml:space="preserve"> These adjustments are designed to maintain program standards and ensure the integrity of the training outcomes.</w:t>
      </w:r>
    </w:p>
    <w:p w14:paraId="1D599EF9" w14:textId="77777777" w:rsidR="00712EB8" w:rsidRDefault="00712EB8" w:rsidP="00712EB8">
      <w:pPr>
        <w:rPr>
          <w:rFonts w:eastAsiaTheme="majorEastAsia" w:cstheme="majorBidi"/>
          <w:color w:val="3A7C22" w:themeColor="accent6" w:themeShade="BF"/>
          <w:sz w:val="32"/>
          <w:szCs w:val="32"/>
        </w:rPr>
      </w:pPr>
      <w:r>
        <w:br w:type="page"/>
      </w:r>
    </w:p>
    <w:p w14:paraId="1FFC2312" w14:textId="1A1A1E24" w:rsidR="004B318E" w:rsidRDefault="004B318E" w:rsidP="00DE55ED">
      <w:pPr>
        <w:pStyle w:val="Heading2"/>
      </w:pPr>
      <w:r>
        <w:lastRenderedPageBreak/>
        <w:t>6 Definitions</w:t>
      </w:r>
    </w:p>
    <w:p w14:paraId="57B521BC" w14:textId="6180897B" w:rsidR="004B318E" w:rsidRDefault="004B318E" w:rsidP="00BA1108">
      <w:pPr>
        <w:spacing w:line="240" w:lineRule="auto"/>
        <w:rPr>
          <w:rFonts w:cs="Calibri"/>
          <w:szCs w:val="24"/>
        </w:rPr>
      </w:pPr>
      <w:r>
        <w:rPr>
          <w:rFonts w:cs="Calibri"/>
          <w:szCs w:val="24"/>
        </w:rPr>
        <w:t>In this policy, the key terms are:</w:t>
      </w:r>
    </w:p>
    <w:tbl>
      <w:tblPr>
        <w:tblStyle w:val="GridTable1Light-Accent6"/>
        <w:tblW w:w="0" w:type="auto"/>
        <w:tblLook w:val="04A0" w:firstRow="1" w:lastRow="0" w:firstColumn="1" w:lastColumn="0" w:noHBand="0" w:noVBand="1"/>
      </w:tblPr>
      <w:tblGrid>
        <w:gridCol w:w="2830"/>
        <w:gridCol w:w="6186"/>
      </w:tblGrid>
      <w:tr w:rsidR="00DE55ED" w:rsidRPr="00D655BE" w14:paraId="011B4325" w14:textId="77777777" w:rsidTr="007D71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155AF184" w14:textId="77777777" w:rsidR="00DE55ED" w:rsidRPr="00D655BE" w:rsidRDefault="00DE55ED" w:rsidP="007D7113">
            <w:pPr>
              <w:rPr>
                <w:rFonts w:eastAsia="Times New Roman" w:cs="Calibri"/>
                <w:color w:val="333333"/>
                <w:kern w:val="0"/>
                <w:szCs w:val="24"/>
                <w:lang w:eastAsia="en-AU"/>
                <w14:ligatures w14:val="none"/>
              </w:rPr>
            </w:pPr>
            <w:r w:rsidRPr="00D655BE">
              <w:rPr>
                <w:rFonts w:eastAsia="Times New Roman" w:cs="Calibri"/>
                <w:color w:val="333333"/>
                <w:kern w:val="0"/>
                <w:szCs w:val="24"/>
                <w:lang w:eastAsia="en-AU"/>
                <w14:ligatures w14:val="none"/>
              </w:rPr>
              <w:t>Term</w:t>
            </w:r>
          </w:p>
        </w:tc>
        <w:tc>
          <w:tcPr>
            <w:tcW w:w="6186" w:type="dxa"/>
          </w:tcPr>
          <w:p w14:paraId="5CF01324" w14:textId="77777777" w:rsidR="00DE55ED" w:rsidRPr="00D655BE" w:rsidRDefault="00DE55ED" w:rsidP="006E6984">
            <w:pPr>
              <w:cnfStyle w:val="100000000000" w:firstRow="1"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D655BE">
              <w:rPr>
                <w:rFonts w:eastAsia="Times New Roman" w:cs="Calibri"/>
                <w:color w:val="333333"/>
                <w:kern w:val="0"/>
                <w:szCs w:val="24"/>
                <w:lang w:eastAsia="en-AU"/>
                <w14:ligatures w14:val="none"/>
              </w:rPr>
              <w:t>Meaning</w:t>
            </w:r>
          </w:p>
        </w:tc>
      </w:tr>
      <w:tr w:rsidR="00B83968" w:rsidRPr="00D655BE" w14:paraId="1F055D9B" w14:textId="77777777" w:rsidTr="006E6984">
        <w:tc>
          <w:tcPr>
            <w:cnfStyle w:val="001000000000" w:firstRow="0" w:lastRow="0" w:firstColumn="1" w:lastColumn="0" w:oddVBand="0" w:evenVBand="0" w:oddHBand="0" w:evenHBand="0" w:firstRowFirstColumn="0" w:firstRowLastColumn="0" w:lastRowFirstColumn="0" w:lastRowLastColumn="0"/>
            <w:tcW w:w="2830" w:type="dxa"/>
          </w:tcPr>
          <w:p w14:paraId="4CD27888" w14:textId="36923F7E" w:rsidR="00B83968" w:rsidRDefault="00B83968" w:rsidP="007D7113">
            <w:pPr>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 xml:space="preserve">Carer </w:t>
            </w:r>
          </w:p>
        </w:tc>
        <w:tc>
          <w:tcPr>
            <w:tcW w:w="6186" w:type="dxa"/>
          </w:tcPr>
          <w:p w14:paraId="4166C7A2" w14:textId="0965CA96" w:rsidR="00B83968" w:rsidRPr="006506F2" w:rsidRDefault="00712EB8" w:rsidP="006506F2">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While a learner may have a parent, guardian, or support person when interacting with NTM, they will need the learner's written consent to advocate for service</w:t>
            </w:r>
            <w:r w:rsidR="00A27FDD">
              <w:rPr>
                <w:rFonts w:eastAsia="Times New Roman" w:cs="Calibri"/>
                <w:color w:val="333333"/>
                <w:kern w:val="0"/>
                <w:szCs w:val="24"/>
                <w:lang w:eastAsia="en-AU"/>
                <w14:ligatures w14:val="none"/>
              </w:rPr>
              <w:t>s</w:t>
            </w:r>
            <w:r>
              <w:rPr>
                <w:rFonts w:eastAsia="Times New Roman" w:cs="Calibri"/>
                <w:color w:val="333333"/>
                <w:kern w:val="0"/>
                <w:szCs w:val="24"/>
                <w:lang w:eastAsia="en-AU"/>
                <w14:ligatures w14:val="none"/>
              </w:rPr>
              <w:t>, reasonable adjustment,</w:t>
            </w:r>
            <w:r w:rsidR="00BC5242">
              <w:rPr>
                <w:rFonts w:eastAsia="Times New Roman" w:cs="Calibri"/>
                <w:color w:val="333333"/>
                <w:kern w:val="0"/>
                <w:szCs w:val="24"/>
                <w:lang w:eastAsia="en-AU"/>
                <w14:ligatures w14:val="none"/>
              </w:rPr>
              <w:t xml:space="preserve"> and LLND needs. </w:t>
            </w:r>
          </w:p>
        </w:tc>
      </w:tr>
      <w:tr w:rsidR="00DE55ED" w:rsidRPr="00D655BE" w14:paraId="5C47CBC5" w14:textId="77777777" w:rsidTr="006E6984">
        <w:tc>
          <w:tcPr>
            <w:cnfStyle w:val="001000000000" w:firstRow="0" w:lastRow="0" w:firstColumn="1" w:lastColumn="0" w:oddVBand="0" w:evenVBand="0" w:oddHBand="0" w:evenHBand="0" w:firstRowFirstColumn="0" w:firstRowLastColumn="0" w:lastRowFirstColumn="0" w:lastRowLastColumn="0"/>
            <w:tcW w:w="2830" w:type="dxa"/>
          </w:tcPr>
          <w:p w14:paraId="0DEB879C" w14:textId="5EBD5601" w:rsidR="00DE55ED" w:rsidRPr="00D655BE" w:rsidRDefault="006506F2" w:rsidP="007D7113">
            <w:pPr>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 xml:space="preserve">Disability </w:t>
            </w:r>
          </w:p>
        </w:tc>
        <w:tc>
          <w:tcPr>
            <w:tcW w:w="6186" w:type="dxa"/>
          </w:tcPr>
          <w:p w14:paraId="306CB997" w14:textId="16BEEE73" w:rsidR="006506F2" w:rsidRPr="006506F2" w:rsidRDefault="006506F2" w:rsidP="006506F2">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6506F2">
              <w:rPr>
                <w:rFonts w:eastAsia="Times New Roman" w:cs="Calibri"/>
                <w:color w:val="333333"/>
                <w:kern w:val="0"/>
                <w:szCs w:val="24"/>
                <w:lang w:eastAsia="en-AU"/>
                <w14:ligatures w14:val="none"/>
              </w:rPr>
              <w:t>Disability - defined by the Disability Discrimination A</w:t>
            </w:r>
            <w:r w:rsidR="00CE48D6">
              <w:rPr>
                <w:rFonts w:eastAsia="Times New Roman" w:cs="Calibri"/>
                <w:color w:val="333333"/>
                <w:kern w:val="0"/>
                <w:szCs w:val="24"/>
                <w:lang w:eastAsia="en-AU"/>
                <w14:ligatures w14:val="none"/>
              </w:rPr>
              <w:t>ct</w:t>
            </w:r>
            <w:r w:rsidRPr="006506F2">
              <w:rPr>
                <w:rFonts w:eastAsia="Times New Roman" w:cs="Calibri"/>
                <w:color w:val="333333"/>
                <w:kern w:val="0"/>
                <w:szCs w:val="24"/>
                <w:lang w:eastAsia="en-AU"/>
                <w14:ligatures w14:val="none"/>
              </w:rPr>
              <w:t xml:space="preserve"> 1992 "in relation to a person means:</w:t>
            </w:r>
          </w:p>
          <w:p w14:paraId="0CEAE7E6" w14:textId="77777777" w:rsidR="006506F2" w:rsidRPr="006506F2" w:rsidRDefault="006506F2" w:rsidP="006506F2">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6506F2">
              <w:rPr>
                <w:rFonts w:eastAsia="Times New Roman" w:cs="Calibri"/>
                <w:color w:val="333333"/>
                <w:kern w:val="0"/>
                <w:szCs w:val="24"/>
                <w:lang w:eastAsia="en-AU"/>
                <w14:ligatures w14:val="none"/>
              </w:rPr>
              <w:t>total or partial loss of the person's bodily or mental functions; or</w:t>
            </w:r>
          </w:p>
          <w:p w14:paraId="2ACF1BA7" w14:textId="77777777" w:rsidR="006506F2" w:rsidRPr="006506F2" w:rsidRDefault="006506F2" w:rsidP="006506F2">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6506F2">
              <w:rPr>
                <w:rFonts w:eastAsia="Times New Roman" w:cs="Calibri"/>
                <w:color w:val="333333"/>
                <w:kern w:val="0"/>
                <w:szCs w:val="24"/>
                <w:lang w:eastAsia="en-AU"/>
                <w14:ligatures w14:val="none"/>
              </w:rPr>
              <w:t>total or partial loss of part of the body; or</w:t>
            </w:r>
          </w:p>
          <w:p w14:paraId="666498E0" w14:textId="77777777" w:rsidR="006506F2" w:rsidRPr="006506F2" w:rsidRDefault="006506F2" w:rsidP="006506F2">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6506F2">
              <w:rPr>
                <w:rFonts w:eastAsia="Times New Roman" w:cs="Calibri"/>
                <w:color w:val="333333"/>
                <w:kern w:val="0"/>
                <w:szCs w:val="24"/>
                <w:lang w:eastAsia="en-AU"/>
                <w14:ligatures w14:val="none"/>
              </w:rPr>
              <w:t>the presence in the body or organisms causing disease or illness; or</w:t>
            </w:r>
          </w:p>
          <w:p w14:paraId="3C49C6F5" w14:textId="77777777" w:rsidR="006506F2" w:rsidRPr="006506F2" w:rsidRDefault="006506F2" w:rsidP="006506F2">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6506F2">
              <w:rPr>
                <w:rFonts w:eastAsia="Times New Roman" w:cs="Calibri"/>
                <w:color w:val="333333"/>
                <w:kern w:val="0"/>
                <w:szCs w:val="24"/>
                <w:lang w:eastAsia="en-AU"/>
                <w14:ligatures w14:val="none"/>
              </w:rPr>
              <w:t>the presence in the body or organisms capable of causing disease or illness; or</w:t>
            </w:r>
          </w:p>
          <w:p w14:paraId="756268F6" w14:textId="77777777" w:rsidR="006506F2" w:rsidRPr="006506F2" w:rsidRDefault="006506F2" w:rsidP="006506F2">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6506F2">
              <w:rPr>
                <w:rFonts w:eastAsia="Times New Roman" w:cs="Calibri"/>
                <w:color w:val="333333"/>
                <w:kern w:val="0"/>
                <w:szCs w:val="24"/>
                <w:lang w:eastAsia="en-AU"/>
                <w14:ligatures w14:val="none"/>
              </w:rPr>
              <w:t>the malfunction, malformation or disfigurement of a part of the person's body; or</w:t>
            </w:r>
          </w:p>
          <w:p w14:paraId="5B619BE7" w14:textId="77777777" w:rsidR="006506F2" w:rsidRPr="006506F2" w:rsidRDefault="006506F2" w:rsidP="006506F2">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6506F2">
              <w:rPr>
                <w:rFonts w:eastAsia="Times New Roman" w:cs="Calibri"/>
                <w:color w:val="333333"/>
                <w:kern w:val="0"/>
                <w:szCs w:val="24"/>
                <w:lang w:eastAsia="en-AU"/>
                <w14:ligatures w14:val="none"/>
              </w:rPr>
              <w:t>a disorder or malfunction that results in the person learning differently from a person without the disorder or malfunction; or</w:t>
            </w:r>
          </w:p>
          <w:p w14:paraId="1FBE22BF" w14:textId="4AA6D48B" w:rsidR="00DE55ED" w:rsidRPr="00D655BE" w:rsidRDefault="006506F2" w:rsidP="006506F2">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6506F2">
              <w:rPr>
                <w:rFonts w:eastAsia="Times New Roman" w:cs="Calibri"/>
                <w:color w:val="333333"/>
                <w:kern w:val="0"/>
                <w:szCs w:val="24"/>
                <w:lang w:eastAsia="en-AU"/>
                <w14:ligatures w14:val="none"/>
              </w:rPr>
              <w:t>a disorder, illness or disease that affects a person's thought processes, perception of reality, emotions or judgement or that results in disturbed behaviour;</w:t>
            </w:r>
          </w:p>
        </w:tc>
      </w:tr>
      <w:tr w:rsidR="004C14D1" w:rsidRPr="00D655BE" w14:paraId="120F49C7" w14:textId="77777777" w:rsidTr="006E6984">
        <w:tc>
          <w:tcPr>
            <w:cnfStyle w:val="001000000000" w:firstRow="0" w:lastRow="0" w:firstColumn="1" w:lastColumn="0" w:oddVBand="0" w:evenVBand="0" w:oddHBand="0" w:evenHBand="0" w:firstRowFirstColumn="0" w:firstRowLastColumn="0" w:lastRowFirstColumn="0" w:lastRowLastColumn="0"/>
            <w:tcW w:w="2830" w:type="dxa"/>
          </w:tcPr>
          <w:p w14:paraId="26894560" w14:textId="37420559" w:rsidR="004C14D1" w:rsidRDefault="004C14D1" w:rsidP="007D7113">
            <w:pPr>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Foundation Skills</w:t>
            </w:r>
          </w:p>
        </w:tc>
        <w:tc>
          <w:tcPr>
            <w:tcW w:w="6186" w:type="dxa"/>
          </w:tcPr>
          <w:p w14:paraId="3E48436A" w14:textId="76684F86" w:rsidR="00F542F9" w:rsidRPr="00F542F9" w:rsidRDefault="00F542F9" w:rsidP="00F542F9">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A</w:t>
            </w:r>
            <w:r w:rsidRPr="00F542F9">
              <w:rPr>
                <w:rFonts w:eastAsia="Times New Roman" w:cs="Calibri"/>
                <w:color w:val="333333"/>
                <w:kern w:val="0"/>
                <w:szCs w:val="24"/>
                <w:lang w:eastAsia="en-AU"/>
                <w14:ligatures w14:val="none"/>
              </w:rPr>
              <w:t>re defined as the combination of:</w:t>
            </w:r>
          </w:p>
          <w:p w14:paraId="754F216E" w14:textId="77777777" w:rsidR="00F542F9" w:rsidRPr="00F542F9" w:rsidRDefault="00F542F9" w:rsidP="00F542F9">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F542F9">
              <w:rPr>
                <w:rFonts w:eastAsia="Times New Roman" w:cs="Calibri"/>
                <w:color w:val="333333"/>
                <w:kern w:val="0"/>
                <w:szCs w:val="24"/>
                <w:lang w:eastAsia="en-AU"/>
                <w14:ligatures w14:val="none"/>
              </w:rPr>
              <w:t>•</w:t>
            </w:r>
            <w:r w:rsidRPr="00F542F9">
              <w:rPr>
                <w:rFonts w:eastAsia="Times New Roman" w:cs="Calibri"/>
                <w:color w:val="333333"/>
                <w:kern w:val="0"/>
                <w:szCs w:val="24"/>
                <w:lang w:eastAsia="en-AU"/>
                <w14:ligatures w14:val="none"/>
              </w:rPr>
              <w:tab/>
              <w:t>English language, literacy and numeracy (LLN) – listening, speaking, reading, writing, digital literacy and use of mathematical ideas; and</w:t>
            </w:r>
          </w:p>
          <w:p w14:paraId="7B3742EC" w14:textId="77C276B0" w:rsidR="004C14D1" w:rsidRPr="006506F2" w:rsidRDefault="00F542F9" w:rsidP="00F542F9">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F542F9">
              <w:rPr>
                <w:rFonts w:eastAsia="Times New Roman" w:cs="Calibri"/>
                <w:color w:val="333333"/>
                <w:kern w:val="0"/>
                <w:szCs w:val="24"/>
                <w:lang w:eastAsia="en-AU"/>
                <w14:ligatures w14:val="none"/>
              </w:rPr>
              <w:t>•</w:t>
            </w:r>
            <w:r w:rsidRPr="00F542F9">
              <w:rPr>
                <w:rFonts w:eastAsia="Times New Roman" w:cs="Calibri"/>
                <w:color w:val="333333"/>
                <w:kern w:val="0"/>
                <w:szCs w:val="24"/>
                <w:lang w:eastAsia="en-AU"/>
                <w14:ligatures w14:val="none"/>
              </w:rPr>
              <w:tab/>
              <w:t>employability skills, such as collaboration, problem solving, self-management, learning and information and communication technology (ICT) skills required for participation in modern workplaces and contemporary life.</w:t>
            </w:r>
          </w:p>
        </w:tc>
      </w:tr>
      <w:tr w:rsidR="00BD4FAD" w:rsidRPr="00D655BE" w14:paraId="284595B5" w14:textId="77777777" w:rsidTr="006E6984">
        <w:tc>
          <w:tcPr>
            <w:cnfStyle w:val="001000000000" w:firstRow="0" w:lastRow="0" w:firstColumn="1" w:lastColumn="0" w:oddVBand="0" w:evenVBand="0" w:oddHBand="0" w:evenHBand="0" w:firstRowFirstColumn="0" w:firstRowLastColumn="0" w:lastRowFirstColumn="0" w:lastRowLastColumn="0"/>
            <w:tcW w:w="2830" w:type="dxa"/>
          </w:tcPr>
          <w:p w14:paraId="41FAE808" w14:textId="41C3B175" w:rsidR="00BD4FAD" w:rsidRDefault="00BD4FAD" w:rsidP="00BD4FAD">
            <w:pPr>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ILP</w:t>
            </w:r>
          </w:p>
        </w:tc>
        <w:tc>
          <w:tcPr>
            <w:tcW w:w="6186" w:type="dxa"/>
          </w:tcPr>
          <w:p w14:paraId="51A4545F" w14:textId="00C216F9" w:rsidR="00BD4FAD" w:rsidRDefault="00DD0BA9" w:rsidP="00BD4FAD">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The Individual learning plan documents</w:t>
            </w:r>
            <w:r w:rsidR="00BD4FAD">
              <w:rPr>
                <w:rFonts w:eastAsia="Times New Roman" w:cs="Calibri"/>
                <w:color w:val="333333"/>
                <w:kern w:val="0"/>
                <w:szCs w:val="24"/>
                <w:lang w:eastAsia="en-AU"/>
                <w14:ligatures w14:val="none"/>
              </w:rPr>
              <w:t xml:space="preserve"> adjustments for learners to both training and assessment practices. </w:t>
            </w:r>
          </w:p>
        </w:tc>
      </w:tr>
      <w:tr w:rsidR="00BD4FAD" w:rsidRPr="00D655BE" w14:paraId="773B74A9" w14:textId="77777777" w:rsidTr="006E6984">
        <w:tc>
          <w:tcPr>
            <w:cnfStyle w:val="001000000000" w:firstRow="0" w:lastRow="0" w:firstColumn="1" w:lastColumn="0" w:oddVBand="0" w:evenVBand="0" w:oddHBand="0" w:evenHBand="0" w:firstRowFirstColumn="0" w:firstRowLastColumn="0" w:lastRowFirstColumn="0" w:lastRowLastColumn="0"/>
            <w:tcW w:w="2830" w:type="dxa"/>
          </w:tcPr>
          <w:p w14:paraId="7F9D9E60" w14:textId="21092F03" w:rsidR="00BD4FAD" w:rsidRDefault="00BD4FAD" w:rsidP="00BD4FAD">
            <w:pPr>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LLND</w:t>
            </w:r>
          </w:p>
        </w:tc>
        <w:tc>
          <w:tcPr>
            <w:tcW w:w="6186" w:type="dxa"/>
          </w:tcPr>
          <w:p w14:paraId="5CD1C9E6" w14:textId="307E4800" w:rsidR="00BD4FAD" w:rsidRPr="006506F2" w:rsidRDefault="00BD4FAD" w:rsidP="00BD4FAD">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 xml:space="preserve">Language, Literacy, Numeracy and Digital Skills, from the Australian Core Skills Framework including the technical skills of reading, writing, oral communication, numeracy, learning and digital skills </w:t>
            </w:r>
          </w:p>
        </w:tc>
      </w:tr>
      <w:tr w:rsidR="00BD4FAD" w:rsidRPr="00D655BE" w14:paraId="4BA39384" w14:textId="77777777" w:rsidTr="006E6984">
        <w:tc>
          <w:tcPr>
            <w:cnfStyle w:val="001000000000" w:firstRow="0" w:lastRow="0" w:firstColumn="1" w:lastColumn="0" w:oddVBand="0" w:evenVBand="0" w:oddHBand="0" w:evenHBand="0" w:firstRowFirstColumn="0" w:firstRowLastColumn="0" w:lastRowFirstColumn="0" w:lastRowLastColumn="0"/>
            <w:tcW w:w="2830" w:type="dxa"/>
          </w:tcPr>
          <w:p w14:paraId="44213EFC" w14:textId="32306142" w:rsidR="00BD4FAD" w:rsidRDefault="00BD4FAD" w:rsidP="00BD4FAD">
            <w:pPr>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PTA</w:t>
            </w:r>
          </w:p>
        </w:tc>
        <w:tc>
          <w:tcPr>
            <w:tcW w:w="6186" w:type="dxa"/>
          </w:tcPr>
          <w:p w14:paraId="4A7A29D4" w14:textId="1D1AF98D" w:rsidR="00BD4FAD" w:rsidRPr="006506F2" w:rsidRDefault="00BD4FAD" w:rsidP="00BD4FAD">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 xml:space="preserve">Pre-Training Assessment, which assesses the learner's core or LLND skills. </w:t>
            </w:r>
          </w:p>
        </w:tc>
      </w:tr>
      <w:tr w:rsidR="00BD4FAD" w:rsidRPr="00D655BE" w14:paraId="093FEF7F" w14:textId="77777777" w:rsidTr="006E6984">
        <w:tc>
          <w:tcPr>
            <w:cnfStyle w:val="001000000000" w:firstRow="0" w:lastRow="0" w:firstColumn="1" w:lastColumn="0" w:oddVBand="0" w:evenVBand="0" w:oddHBand="0" w:evenHBand="0" w:firstRowFirstColumn="0" w:firstRowLastColumn="0" w:lastRowFirstColumn="0" w:lastRowLastColumn="0"/>
            <w:tcW w:w="2830" w:type="dxa"/>
          </w:tcPr>
          <w:p w14:paraId="4961269C" w14:textId="7DC57B89" w:rsidR="00BD4FAD" w:rsidRPr="00D655BE" w:rsidRDefault="00BD4FAD" w:rsidP="00BD4FAD">
            <w:pPr>
              <w:rPr>
                <w:rFonts w:eastAsia="Times New Roman" w:cs="Calibri"/>
                <w:color w:val="333333"/>
                <w:kern w:val="0"/>
                <w:szCs w:val="24"/>
                <w:lang w:eastAsia="en-AU"/>
                <w14:ligatures w14:val="none"/>
              </w:rPr>
            </w:pPr>
            <w:r w:rsidRPr="002A5B0B">
              <w:rPr>
                <w:rFonts w:eastAsia="Times New Roman" w:cs="Calibri"/>
                <w:color w:val="333333"/>
                <w:kern w:val="0"/>
                <w:szCs w:val="24"/>
                <w:lang w:eastAsia="en-AU"/>
                <w14:ligatures w14:val="none"/>
              </w:rPr>
              <w:t>Reasonable adjustment</w:t>
            </w:r>
          </w:p>
        </w:tc>
        <w:tc>
          <w:tcPr>
            <w:tcW w:w="6186" w:type="dxa"/>
          </w:tcPr>
          <w:p w14:paraId="47B5443F" w14:textId="51B00BCC" w:rsidR="00BD4FAD" w:rsidRPr="002A5B0B" w:rsidRDefault="00BD4FAD" w:rsidP="00BD4FAD">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t>I</w:t>
            </w:r>
            <w:r w:rsidRPr="002A5B0B">
              <w:rPr>
                <w:rFonts w:eastAsia="Times New Roman" w:cs="Calibri"/>
                <w:color w:val="333333"/>
                <w:kern w:val="0"/>
                <w:szCs w:val="24"/>
                <w:lang w:eastAsia="en-AU"/>
                <w14:ligatures w14:val="none"/>
              </w:rPr>
              <w:t xml:space="preserve">n VET is the term applied to modifying the learning </w:t>
            </w:r>
            <w:r>
              <w:rPr>
                <w:rFonts w:eastAsia="Times New Roman" w:cs="Calibri"/>
                <w:color w:val="333333"/>
                <w:kern w:val="0"/>
                <w:szCs w:val="24"/>
                <w:lang w:eastAsia="en-AU"/>
                <w14:ligatures w14:val="none"/>
              </w:rPr>
              <w:t>e</w:t>
            </w:r>
            <w:r w:rsidRPr="002A5B0B">
              <w:rPr>
                <w:rFonts w:eastAsia="Times New Roman" w:cs="Calibri"/>
                <w:color w:val="333333"/>
                <w:kern w:val="0"/>
                <w:szCs w:val="24"/>
                <w:lang w:eastAsia="en-AU"/>
                <w14:ligatures w14:val="none"/>
              </w:rPr>
              <w:t xml:space="preserve">nvironment or making changes to the training and/or assessment delivered to assist a learner with a </w:t>
            </w:r>
          </w:p>
          <w:p w14:paraId="2F130F55" w14:textId="4227EA61" w:rsidR="00BD4FAD" w:rsidRPr="00D655BE" w:rsidRDefault="00BD4FAD" w:rsidP="00BD4FAD">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2A5B0B">
              <w:rPr>
                <w:rFonts w:eastAsia="Times New Roman" w:cs="Calibri"/>
                <w:color w:val="333333"/>
                <w:kern w:val="0"/>
                <w:szCs w:val="24"/>
                <w:lang w:eastAsia="en-AU"/>
                <w14:ligatures w14:val="none"/>
              </w:rPr>
              <w:lastRenderedPageBreak/>
              <w:t>Disability</w:t>
            </w:r>
            <w:r>
              <w:rPr>
                <w:rFonts w:eastAsia="Times New Roman" w:cs="Calibri"/>
                <w:color w:val="333333"/>
                <w:kern w:val="0"/>
                <w:szCs w:val="24"/>
                <w:lang w:eastAsia="en-AU"/>
                <w14:ligatures w14:val="none"/>
              </w:rPr>
              <w:t xml:space="preserve">, while not compromising the standard of the VET product. </w:t>
            </w:r>
          </w:p>
        </w:tc>
      </w:tr>
      <w:tr w:rsidR="00BD4FAD" w:rsidRPr="00D655BE" w14:paraId="72484959" w14:textId="77777777" w:rsidTr="006E6984">
        <w:tc>
          <w:tcPr>
            <w:cnfStyle w:val="001000000000" w:firstRow="0" w:lastRow="0" w:firstColumn="1" w:lastColumn="0" w:oddVBand="0" w:evenVBand="0" w:oddHBand="0" w:evenHBand="0" w:firstRowFirstColumn="0" w:firstRowLastColumn="0" w:lastRowFirstColumn="0" w:lastRowLastColumn="0"/>
            <w:tcW w:w="2830" w:type="dxa"/>
          </w:tcPr>
          <w:p w14:paraId="55D87FFA" w14:textId="16A8AF2F" w:rsidR="00BD4FAD" w:rsidRPr="002A5B0B" w:rsidRDefault="00BD4FAD" w:rsidP="00BD4FAD">
            <w:pPr>
              <w:rPr>
                <w:rFonts w:eastAsia="Times New Roman" w:cs="Calibri"/>
                <w:color w:val="333333"/>
                <w:kern w:val="0"/>
                <w:szCs w:val="24"/>
                <w:lang w:eastAsia="en-AU"/>
                <w14:ligatures w14:val="none"/>
              </w:rPr>
            </w:pPr>
            <w:r>
              <w:rPr>
                <w:rFonts w:eastAsia="Times New Roman" w:cs="Calibri"/>
                <w:color w:val="333333"/>
                <w:kern w:val="0"/>
                <w:szCs w:val="24"/>
                <w:lang w:eastAsia="en-AU"/>
                <w14:ligatures w14:val="none"/>
              </w:rPr>
              <w:lastRenderedPageBreak/>
              <w:t>UDL</w:t>
            </w:r>
          </w:p>
        </w:tc>
        <w:tc>
          <w:tcPr>
            <w:tcW w:w="6186" w:type="dxa"/>
          </w:tcPr>
          <w:p w14:paraId="6DB2753B" w14:textId="19631278" w:rsidR="00BD4FAD" w:rsidRDefault="00BD4FAD" w:rsidP="00BD4FAD">
            <w:pPr>
              <w:cnfStyle w:val="000000000000" w:firstRow="0" w:lastRow="0" w:firstColumn="0" w:lastColumn="0" w:oddVBand="0" w:evenVBand="0" w:oddHBand="0" w:evenHBand="0" w:firstRowFirstColumn="0" w:firstRowLastColumn="0" w:lastRowFirstColumn="0" w:lastRowLastColumn="0"/>
              <w:rPr>
                <w:rFonts w:eastAsia="Times New Roman" w:cs="Calibri"/>
                <w:color w:val="333333"/>
                <w:kern w:val="0"/>
                <w:szCs w:val="24"/>
                <w:lang w:eastAsia="en-AU"/>
                <w14:ligatures w14:val="none"/>
              </w:rPr>
            </w:pPr>
            <w:r w:rsidRPr="00C63D4B">
              <w:rPr>
                <w:rFonts w:eastAsia="Times New Roman" w:cs="Calibri"/>
                <w:color w:val="333333"/>
                <w:kern w:val="0"/>
                <w:szCs w:val="24"/>
                <w:lang w:eastAsia="en-AU"/>
                <w14:ligatures w14:val="none"/>
              </w:rPr>
              <w:t>Universal Design for Learning (UDL) in adult education means creating learning materials</w:t>
            </w:r>
            <w:r>
              <w:rPr>
                <w:rFonts w:eastAsia="Times New Roman" w:cs="Calibri"/>
                <w:color w:val="333333"/>
                <w:kern w:val="0"/>
                <w:szCs w:val="24"/>
                <w:lang w:eastAsia="en-AU"/>
                <w14:ligatures w14:val="none"/>
              </w:rPr>
              <w:t>, training</w:t>
            </w:r>
            <w:r w:rsidRPr="00C63D4B">
              <w:rPr>
                <w:rFonts w:eastAsia="Times New Roman" w:cs="Calibri"/>
                <w:color w:val="333333"/>
                <w:kern w:val="0"/>
                <w:szCs w:val="24"/>
                <w:lang w:eastAsia="en-AU"/>
                <w14:ligatures w14:val="none"/>
              </w:rPr>
              <w:t xml:space="preserve"> and </w:t>
            </w:r>
            <w:r>
              <w:rPr>
                <w:rFonts w:eastAsia="Times New Roman" w:cs="Calibri"/>
                <w:color w:val="333333"/>
                <w:kern w:val="0"/>
                <w:szCs w:val="24"/>
                <w:lang w:eastAsia="en-AU"/>
                <w14:ligatures w14:val="none"/>
              </w:rPr>
              <w:t>assessments</w:t>
            </w:r>
            <w:r w:rsidRPr="00C63D4B">
              <w:rPr>
                <w:rFonts w:eastAsia="Times New Roman" w:cs="Calibri"/>
                <w:color w:val="333333"/>
                <w:kern w:val="0"/>
                <w:szCs w:val="24"/>
                <w:lang w:eastAsia="en-AU"/>
                <w14:ligatures w14:val="none"/>
              </w:rPr>
              <w:t xml:space="preserve"> that work well for everyone, regardless of learning style, disability, or pace. It's like building a ramp alongside stairs - everyone can access the information in a way that works for them.</w:t>
            </w:r>
          </w:p>
        </w:tc>
      </w:tr>
    </w:tbl>
    <w:p w14:paraId="48F0294B" w14:textId="7228ED65" w:rsidR="004B318E" w:rsidRDefault="00BD32E8" w:rsidP="00BA1108">
      <w:pPr>
        <w:spacing w:line="240" w:lineRule="auto"/>
        <w:rPr>
          <w:rFonts w:cs="Calibri"/>
          <w:szCs w:val="24"/>
        </w:rPr>
      </w:pPr>
      <w:r>
        <w:rPr>
          <w:rFonts w:cs="Calibri"/>
          <w:szCs w:val="24"/>
        </w:rPr>
        <w:t xml:space="preserve">Additional definitions are covered within the related documents </w:t>
      </w:r>
    </w:p>
    <w:p w14:paraId="50871528" w14:textId="4ACF4988" w:rsidR="00800AD3" w:rsidRDefault="00800AD3" w:rsidP="003A5DE5">
      <w:pPr>
        <w:pStyle w:val="Heading2"/>
      </w:pPr>
      <w:r>
        <w:t xml:space="preserve">7 </w:t>
      </w:r>
      <w:r w:rsidR="003A5DE5">
        <w:t>R</w:t>
      </w:r>
      <w:r>
        <w:t>elated Documents</w:t>
      </w:r>
    </w:p>
    <w:p w14:paraId="32873EA4" w14:textId="77777777" w:rsidR="003A5DE5" w:rsidRPr="00EE2085" w:rsidRDefault="003A5DE5" w:rsidP="008C4BC6">
      <w:pPr>
        <w:pStyle w:val="Heading2"/>
        <w:rPr>
          <w:rFonts w:eastAsiaTheme="minorHAnsi" w:cs="Calibri"/>
          <w:color w:val="auto"/>
          <w:sz w:val="24"/>
          <w:szCs w:val="24"/>
        </w:rPr>
      </w:pPr>
      <w:r w:rsidRPr="00EE2085">
        <w:rPr>
          <w:rFonts w:eastAsiaTheme="minorHAnsi" w:cs="Calibri"/>
          <w:color w:val="auto"/>
          <w:sz w:val="24"/>
          <w:szCs w:val="24"/>
        </w:rPr>
        <w:t>This policy is to be read in conjunction with:</w:t>
      </w:r>
    </w:p>
    <w:p w14:paraId="4C52079F" w14:textId="33096760" w:rsidR="003A5DE5" w:rsidRPr="003A5DE5" w:rsidRDefault="00971D73" w:rsidP="00EE2085">
      <w:r w:rsidRPr="00EE2085">
        <w:rPr>
          <w:rFonts w:cs="Calibri"/>
          <w:szCs w:val="24"/>
        </w:rPr>
        <w:t>Current Version of the Learner Handbook</w:t>
      </w:r>
      <w:r w:rsidRPr="00EE2085">
        <w:rPr>
          <w:rFonts w:cs="Calibri"/>
          <w:szCs w:val="24"/>
        </w:rPr>
        <w:br/>
      </w:r>
      <w:r w:rsidR="007D4AEB">
        <w:rPr>
          <w:rFonts w:cs="Calibri"/>
          <w:szCs w:val="24"/>
        </w:rPr>
        <w:t xml:space="preserve">Indiviudal </w:t>
      </w:r>
      <w:r w:rsidR="00712EB8">
        <w:rPr>
          <w:rFonts w:cs="Calibri"/>
          <w:szCs w:val="24"/>
        </w:rPr>
        <w:t>L</w:t>
      </w:r>
      <w:r w:rsidR="007D4AEB">
        <w:rPr>
          <w:rFonts w:cs="Calibri"/>
          <w:szCs w:val="24"/>
        </w:rPr>
        <w:t>earning Plan</w:t>
      </w:r>
      <w:r w:rsidR="007D4AEB">
        <w:rPr>
          <w:rFonts w:cs="Calibri"/>
          <w:szCs w:val="24"/>
        </w:rPr>
        <w:br/>
        <w:t xml:space="preserve">Diversity, </w:t>
      </w:r>
      <w:r w:rsidR="001D41BE">
        <w:rPr>
          <w:rFonts w:cs="Calibri"/>
          <w:szCs w:val="24"/>
        </w:rPr>
        <w:t>E</w:t>
      </w:r>
      <w:r w:rsidR="007D4AEB">
        <w:rPr>
          <w:rFonts w:cs="Calibri"/>
          <w:szCs w:val="24"/>
        </w:rPr>
        <w:t>quity and Inclusion Policy</w:t>
      </w:r>
      <w:r w:rsidR="007D4AEB">
        <w:rPr>
          <w:rFonts w:cs="Calibri"/>
          <w:szCs w:val="24"/>
        </w:rPr>
        <w:br/>
        <w:t>Assessment Policy</w:t>
      </w:r>
      <w:r w:rsidR="007D4AEB">
        <w:rPr>
          <w:rFonts w:cs="Calibri"/>
          <w:szCs w:val="24"/>
        </w:rPr>
        <w:br/>
        <w:t xml:space="preserve">Training and Assessment Policy </w:t>
      </w:r>
      <w:r w:rsidR="00BF51C9">
        <w:rPr>
          <w:rFonts w:cs="Calibri"/>
          <w:szCs w:val="24"/>
        </w:rPr>
        <w:br/>
      </w:r>
      <w:r w:rsidR="004619A2">
        <w:rPr>
          <w:rFonts w:cs="Calibri"/>
          <w:szCs w:val="24"/>
        </w:rPr>
        <w:t>Complaints and Feedback Policy</w:t>
      </w:r>
      <w:r w:rsidR="004619A2">
        <w:rPr>
          <w:rFonts w:cs="Calibri"/>
          <w:szCs w:val="24"/>
        </w:rPr>
        <w:br/>
        <w:t>Compliant and Feedback Form</w:t>
      </w:r>
      <w:r w:rsidR="00BC6D97">
        <w:br/>
        <w:t>Privacy Policy</w:t>
      </w:r>
    </w:p>
    <w:p w14:paraId="4D5ABCE9" w14:textId="347CCB12" w:rsidR="0062459E" w:rsidRPr="00F43402" w:rsidRDefault="00BD32E8" w:rsidP="008C4BC6">
      <w:pPr>
        <w:pStyle w:val="Heading2"/>
        <w:rPr>
          <w:rFonts w:eastAsia="Times New Roman"/>
          <w:lang w:eastAsia="en-AU"/>
        </w:rPr>
      </w:pPr>
      <w:r>
        <w:rPr>
          <w:rFonts w:eastAsia="Times New Roman"/>
          <w:lang w:eastAsia="en-AU"/>
        </w:rPr>
        <w:t>8</w:t>
      </w:r>
      <w:r w:rsidR="00F43402" w:rsidRPr="00F43402">
        <w:rPr>
          <w:rFonts w:eastAsia="Times New Roman"/>
          <w:lang w:eastAsia="en-AU"/>
        </w:rPr>
        <w:t xml:space="preserve">  </w:t>
      </w:r>
      <w:r w:rsidR="0062459E" w:rsidRPr="00F43402">
        <w:rPr>
          <w:rFonts w:eastAsia="Times New Roman"/>
          <w:lang w:eastAsia="en-AU"/>
        </w:rPr>
        <w:t>Contacts</w:t>
      </w:r>
    </w:p>
    <w:p w14:paraId="3012D73E" w14:textId="46349503" w:rsidR="00367A8B" w:rsidRDefault="00BA1108" w:rsidP="00520D40">
      <w:pPr>
        <w:shd w:val="clear" w:color="auto" w:fill="FFFFFF"/>
        <w:spacing w:after="0" w:line="240" w:lineRule="auto"/>
        <w:rPr>
          <w:rFonts w:eastAsia="Times New Roman" w:cstheme="majorBidi"/>
          <w:color w:val="3A7C22" w:themeColor="accent6" w:themeShade="BF"/>
          <w:sz w:val="32"/>
          <w:szCs w:val="32"/>
          <w:lang w:eastAsia="en-AU"/>
        </w:rPr>
      </w:pPr>
      <w:r>
        <w:rPr>
          <w:rFonts w:eastAsia="Times New Roman" w:cs="Calibri"/>
          <w:kern w:val="0"/>
          <w:szCs w:val="24"/>
          <w:lang w:eastAsia="en-AU"/>
          <w14:ligatures w14:val="none"/>
        </w:rPr>
        <w:t>All</w:t>
      </w:r>
      <w:r w:rsidR="0062459E">
        <w:rPr>
          <w:rFonts w:eastAsia="Times New Roman" w:cs="Calibri"/>
          <w:kern w:val="0"/>
          <w:szCs w:val="24"/>
          <w:lang w:eastAsia="en-AU"/>
          <w14:ligatures w14:val="none"/>
        </w:rPr>
        <w:t xml:space="preserve"> contact </w:t>
      </w:r>
      <w:r>
        <w:rPr>
          <w:rFonts w:eastAsia="Times New Roman" w:cs="Calibri"/>
          <w:kern w:val="0"/>
          <w:szCs w:val="24"/>
          <w:lang w:eastAsia="en-AU"/>
          <w14:ligatures w14:val="none"/>
        </w:rPr>
        <w:t xml:space="preserve">regarding </w:t>
      </w:r>
      <w:r w:rsidR="00771AAE">
        <w:rPr>
          <w:rFonts w:eastAsia="Times New Roman" w:cs="Calibri"/>
          <w:kern w:val="0"/>
          <w:szCs w:val="24"/>
          <w:lang w:eastAsia="en-AU"/>
          <w14:ligatures w14:val="none"/>
        </w:rPr>
        <w:t>reasonable adjustement and LLND needs are addressed by the trainer and assessor</w:t>
      </w:r>
      <w:r w:rsidR="0062459E">
        <w:rPr>
          <w:rFonts w:eastAsia="Times New Roman" w:cs="Calibri"/>
          <w:kern w:val="0"/>
          <w:szCs w:val="24"/>
          <w:lang w:eastAsia="en-AU"/>
          <w14:ligatures w14:val="none"/>
        </w:rPr>
        <w:t>.</w:t>
      </w:r>
      <w:r w:rsidR="00771AAE">
        <w:rPr>
          <w:rFonts w:eastAsia="Times New Roman" w:cs="Calibri"/>
          <w:kern w:val="0"/>
          <w:szCs w:val="24"/>
          <w:lang w:eastAsia="en-AU"/>
          <w14:ligatures w14:val="none"/>
        </w:rPr>
        <w:t xml:space="preserve"> For specialist support </w:t>
      </w:r>
      <w:r w:rsidR="0062459E">
        <w:rPr>
          <w:rFonts w:eastAsia="Times New Roman" w:cs="Calibri"/>
          <w:kern w:val="0"/>
          <w:szCs w:val="24"/>
          <w:lang w:eastAsia="en-AU"/>
          <w14:ligatures w14:val="none"/>
        </w:rPr>
        <w:t>contact</w:t>
      </w:r>
      <w:r w:rsidR="009938BC">
        <w:rPr>
          <w:rFonts w:eastAsia="Times New Roman" w:cs="Calibri"/>
          <w:kern w:val="0"/>
          <w:szCs w:val="24"/>
          <w:lang w:eastAsia="en-AU"/>
          <w14:ligatures w14:val="none"/>
        </w:rPr>
        <w:t xml:space="preserve"> the Director of Equity via </w:t>
      </w:r>
      <w:r w:rsidR="0062459E">
        <w:rPr>
          <w:rFonts w:eastAsia="Times New Roman" w:cs="Calibri"/>
          <w:kern w:val="0"/>
          <w:szCs w:val="24"/>
          <w:lang w:eastAsia="en-AU"/>
          <w14:ligatures w14:val="none"/>
        </w:rPr>
        <w:t xml:space="preserve">mail at </w:t>
      </w:r>
      <w:hyperlink r:id="rId10" w:history="1">
        <w:r w:rsidR="0062459E" w:rsidRPr="00EE5336">
          <w:rPr>
            <w:rStyle w:val="Hyperlink"/>
            <w:rFonts w:eastAsia="Times New Roman" w:cs="Calibri"/>
            <w:kern w:val="0"/>
            <w:szCs w:val="24"/>
            <w:lang w:eastAsia="en-AU"/>
            <w14:ligatures w14:val="none"/>
          </w:rPr>
          <w:t>admin@ntm.edu.au</w:t>
        </w:r>
      </w:hyperlink>
      <w:r w:rsidR="0062459E">
        <w:rPr>
          <w:rFonts w:eastAsia="Times New Roman" w:cs="Calibri"/>
          <w:kern w:val="0"/>
          <w:szCs w:val="24"/>
          <w:lang w:eastAsia="en-AU"/>
          <w14:ligatures w14:val="none"/>
        </w:rPr>
        <w:t xml:space="preserve"> or on 1300 653 501.</w:t>
      </w:r>
    </w:p>
    <w:p w14:paraId="10F28C4A" w14:textId="7F3F0795" w:rsidR="007448F3" w:rsidRDefault="00EE2085" w:rsidP="008C4BC6">
      <w:pPr>
        <w:pStyle w:val="Heading2"/>
        <w:rPr>
          <w:rFonts w:eastAsia="Times New Roman"/>
          <w:lang w:eastAsia="en-AU"/>
        </w:rPr>
      </w:pPr>
      <w:r>
        <w:rPr>
          <w:rFonts w:eastAsia="Times New Roman"/>
          <w:lang w:eastAsia="en-AU"/>
        </w:rPr>
        <w:t>9</w:t>
      </w:r>
      <w:r w:rsidR="007448F3" w:rsidRPr="00F530CC">
        <w:rPr>
          <w:rFonts w:eastAsia="Times New Roman"/>
          <w:lang w:eastAsia="en-AU"/>
        </w:rPr>
        <w:t xml:space="preserve">  Document Information and Review</w:t>
      </w:r>
    </w:p>
    <w:p w14:paraId="3E521886" w14:textId="7AC41878" w:rsidR="00F530CC" w:rsidRDefault="00EB4C22" w:rsidP="0062459E">
      <w:pPr>
        <w:shd w:val="clear" w:color="auto" w:fill="FFFFFF"/>
        <w:spacing w:after="0" w:line="240" w:lineRule="auto"/>
        <w:rPr>
          <w:rFonts w:eastAsia="Times New Roman" w:cs="Calibri"/>
          <w:kern w:val="0"/>
          <w:szCs w:val="24"/>
          <w:lang w:eastAsia="en-AU"/>
          <w14:ligatures w14:val="none"/>
        </w:rPr>
      </w:pPr>
      <w:r>
        <w:rPr>
          <w:rFonts w:eastAsia="Times New Roman" w:cs="Calibri"/>
          <w:kern w:val="0"/>
          <w:szCs w:val="24"/>
          <w:lang w:eastAsia="en-AU"/>
          <w14:ligatures w14:val="none"/>
        </w:rPr>
        <w:t>This policy document will be reviewed every three years.</w:t>
      </w:r>
    </w:p>
    <w:p w14:paraId="64190696" w14:textId="24BE1EA0" w:rsidR="00EB4C22" w:rsidRDefault="00EB4C22" w:rsidP="0062459E">
      <w:pPr>
        <w:shd w:val="clear" w:color="auto" w:fill="FFFFFF"/>
        <w:spacing w:after="0" w:line="240" w:lineRule="auto"/>
        <w:rPr>
          <w:rFonts w:eastAsia="Times New Roman" w:cs="Calibri"/>
          <w:kern w:val="0"/>
          <w:szCs w:val="24"/>
          <w:lang w:eastAsia="en-AU"/>
          <w14:ligatures w14:val="none"/>
        </w:rPr>
      </w:pPr>
      <w:r>
        <w:rPr>
          <w:rFonts w:eastAsia="Times New Roman" w:cs="Calibri"/>
          <w:kern w:val="0"/>
          <w:szCs w:val="24"/>
          <w:lang w:eastAsia="en-AU"/>
          <w14:ligatures w14:val="none"/>
        </w:rPr>
        <w:t xml:space="preserve">Review no: </w:t>
      </w:r>
      <w:r w:rsidR="00091668">
        <w:rPr>
          <w:rFonts w:eastAsia="Times New Roman" w:cs="Calibri"/>
          <w:kern w:val="0"/>
          <w:szCs w:val="24"/>
          <w:lang w:eastAsia="en-AU"/>
          <w14:ligatures w14:val="none"/>
        </w:rPr>
        <w:t>REAP</w:t>
      </w:r>
      <w:r>
        <w:rPr>
          <w:rFonts w:eastAsia="Times New Roman" w:cs="Calibri"/>
          <w:kern w:val="0"/>
          <w:szCs w:val="24"/>
          <w:lang w:eastAsia="en-AU"/>
          <w14:ligatures w14:val="none"/>
        </w:rPr>
        <w:t>/</w:t>
      </w:r>
      <w:r w:rsidR="00BC5245">
        <w:rPr>
          <w:rFonts w:eastAsia="Times New Roman" w:cs="Calibri"/>
          <w:kern w:val="0"/>
          <w:szCs w:val="24"/>
          <w:lang w:eastAsia="en-AU"/>
          <w14:ligatures w14:val="none"/>
        </w:rPr>
        <w:t>2023</w:t>
      </w:r>
    </w:p>
    <w:p w14:paraId="15F6482A" w14:textId="2A850051" w:rsidR="00CC5AFB" w:rsidRPr="00181D47" w:rsidRDefault="000B0987" w:rsidP="00783A19">
      <w:pPr>
        <w:shd w:val="clear" w:color="auto" w:fill="FFFFFF"/>
        <w:spacing w:after="0" w:line="240" w:lineRule="auto"/>
        <w:rPr>
          <w:rFonts w:cs="Calibri"/>
          <w:szCs w:val="24"/>
        </w:rPr>
      </w:pPr>
      <w:r>
        <w:rPr>
          <w:rFonts w:eastAsia="Times New Roman" w:cs="Calibri"/>
          <w:kern w:val="0"/>
          <w:szCs w:val="24"/>
          <w:lang w:eastAsia="en-AU"/>
          <w14:ligatures w14:val="none"/>
        </w:rPr>
        <w:t xml:space="preserve">Next review date: </w:t>
      </w:r>
      <w:r w:rsidR="00091668">
        <w:rPr>
          <w:rFonts w:eastAsia="Times New Roman" w:cs="Calibri"/>
          <w:kern w:val="0"/>
          <w:szCs w:val="24"/>
          <w:lang w:eastAsia="en-AU"/>
          <w14:ligatures w14:val="none"/>
        </w:rPr>
        <w:t>15</w:t>
      </w:r>
      <w:r>
        <w:rPr>
          <w:rFonts w:eastAsia="Times New Roman" w:cs="Calibri"/>
          <w:kern w:val="0"/>
          <w:szCs w:val="24"/>
          <w:lang w:eastAsia="en-AU"/>
          <w14:ligatures w14:val="none"/>
        </w:rPr>
        <w:t>.03.2026</w:t>
      </w:r>
      <w:r w:rsidR="00DD6F92">
        <w:rPr>
          <w:rFonts w:eastAsia="Times New Roman" w:cs="Calibri"/>
          <w:kern w:val="0"/>
          <w:szCs w:val="24"/>
          <w:lang w:eastAsia="en-AU"/>
          <w14:ligatures w14:val="none"/>
        </w:rPr>
        <w:br/>
      </w:r>
    </w:p>
    <w:tbl>
      <w:tblPr>
        <w:tblStyle w:val="GridTable4-Accent6"/>
        <w:tblW w:w="0" w:type="auto"/>
        <w:tblLook w:val="04A0" w:firstRow="1" w:lastRow="0" w:firstColumn="1" w:lastColumn="0" w:noHBand="0" w:noVBand="1"/>
      </w:tblPr>
      <w:tblGrid>
        <w:gridCol w:w="986"/>
        <w:gridCol w:w="1311"/>
        <w:gridCol w:w="1815"/>
        <w:gridCol w:w="4904"/>
      </w:tblGrid>
      <w:tr w:rsidR="00CC5AFB" w:rsidRPr="00181D47" w14:paraId="0D0DAF7E" w14:textId="77777777" w:rsidTr="00993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14:paraId="243B345F" w14:textId="77777777" w:rsidR="00CC5AFB" w:rsidRPr="00181D47" w:rsidRDefault="00CC5AFB" w:rsidP="00175A88">
            <w:pPr>
              <w:rPr>
                <w:rFonts w:cs="Calibri"/>
                <w:szCs w:val="24"/>
              </w:rPr>
            </w:pPr>
            <w:r w:rsidRPr="00181D47">
              <w:rPr>
                <w:rFonts w:cs="Calibri"/>
                <w:szCs w:val="24"/>
              </w:rPr>
              <w:t xml:space="preserve">Version </w:t>
            </w:r>
          </w:p>
        </w:tc>
        <w:tc>
          <w:tcPr>
            <w:tcW w:w="1311" w:type="dxa"/>
          </w:tcPr>
          <w:p w14:paraId="0E54F46F" w14:textId="77777777" w:rsidR="00CC5AFB" w:rsidRPr="00181D47" w:rsidRDefault="00CC5AFB" w:rsidP="00175A88">
            <w:pPr>
              <w:cnfStyle w:val="100000000000" w:firstRow="1" w:lastRow="0" w:firstColumn="0" w:lastColumn="0" w:oddVBand="0" w:evenVBand="0" w:oddHBand="0" w:evenHBand="0" w:firstRowFirstColumn="0" w:firstRowLastColumn="0" w:lastRowFirstColumn="0" w:lastRowLastColumn="0"/>
              <w:rPr>
                <w:rFonts w:cs="Calibri"/>
                <w:szCs w:val="24"/>
              </w:rPr>
            </w:pPr>
            <w:r w:rsidRPr="00181D47">
              <w:rPr>
                <w:rFonts w:cs="Calibri"/>
                <w:szCs w:val="24"/>
              </w:rPr>
              <w:t>Effective</w:t>
            </w:r>
          </w:p>
        </w:tc>
        <w:tc>
          <w:tcPr>
            <w:tcW w:w="1815" w:type="dxa"/>
          </w:tcPr>
          <w:p w14:paraId="6C320A95" w14:textId="77777777" w:rsidR="00CC5AFB" w:rsidRPr="00181D47" w:rsidRDefault="00CC5AFB" w:rsidP="00175A88">
            <w:pPr>
              <w:cnfStyle w:val="100000000000" w:firstRow="1" w:lastRow="0" w:firstColumn="0" w:lastColumn="0" w:oddVBand="0" w:evenVBand="0" w:oddHBand="0" w:evenHBand="0" w:firstRowFirstColumn="0" w:firstRowLastColumn="0" w:lastRowFirstColumn="0" w:lastRowLastColumn="0"/>
              <w:rPr>
                <w:rFonts w:cs="Calibri"/>
                <w:szCs w:val="24"/>
              </w:rPr>
            </w:pPr>
            <w:r w:rsidRPr="00181D47">
              <w:rPr>
                <w:rFonts w:cs="Calibri"/>
                <w:szCs w:val="24"/>
              </w:rPr>
              <w:t>Approved by</w:t>
            </w:r>
          </w:p>
        </w:tc>
        <w:tc>
          <w:tcPr>
            <w:tcW w:w="4904" w:type="dxa"/>
          </w:tcPr>
          <w:p w14:paraId="56CCE22D" w14:textId="77777777" w:rsidR="00CC5AFB" w:rsidRPr="00181D47" w:rsidRDefault="00CC5AFB" w:rsidP="00175A88">
            <w:pPr>
              <w:cnfStyle w:val="100000000000" w:firstRow="1" w:lastRow="0" w:firstColumn="0" w:lastColumn="0" w:oddVBand="0" w:evenVBand="0" w:oddHBand="0" w:evenHBand="0" w:firstRowFirstColumn="0" w:firstRowLastColumn="0" w:lastRowFirstColumn="0" w:lastRowLastColumn="0"/>
              <w:rPr>
                <w:rFonts w:cs="Calibri"/>
                <w:szCs w:val="24"/>
              </w:rPr>
            </w:pPr>
            <w:r w:rsidRPr="00181D47">
              <w:rPr>
                <w:rFonts w:cs="Calibri"/>
                <w:szCs w:val="24"/>
              </w:rPr>
              <w:t>Amendment / Reason</w:t>
            </w:r>
          </w:p>
        </w:tc>
      </w:tr>
      <w:tr w:rsidR="00CC5AFB" w:rsidRPr="00181D47" w14:paraId="2023C2E3" w14:textId="77777777" w:rsidTr="00993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14:paraId="611231C3" w14:textId="77777777" w:rsidR="00CC5AFB" w:rsidRPr="00181D47" w:rsidRDefault="00CC5AFB" w:rsidP="00175A88">
            <w:pPr>
              <w:rPr>
                <w:rFonts w:cs="Calibri"/>
                <w:szCs w:val="24"/>
              </w:rPr>
            </w:pPr>
            <w:r w:rsidRPr="00181D47">
              <w:rPr>
                <w:rFonts w:cs="Calibri"/>
                <w:szCs w:val="24"/>
              </w:rPr>
              <w:t>1.0</w:t>
            </w:r>
          </w:p>
        </w:tc>
        <w:tc>
          <w:tcPr>
            <w:tcW w:w="1311" w:type="dxa"/>
          </w:tcPr>
          <w:p w14:paraId="120C0080" w14:textId="13C97618" w:rsidR="00CC5AFB" w:rsidRPr="00181D47" w:rsidRDefault="00CC5AFB" w:rsidP="00175A88">
            <w:pP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2</w:t>
            </w:r>
            <w:r w:rsidRPr="00181D47">
              <w:rPr>
                <w:rFonts w:cs="Calibri"/>
                <w:szCs w:val="24"/>
              </w:rPr>
              <w:t>1.0</w:t>
            </w:r>
            <w:r>
              <w:rPr>
                <w:rFonts w:cs="Calibri"/>
                <w:szCs w:val="24"/>
              </w:rPr>
              <w:t>3</w:t>
            </w:r>
            <w:r w:rsidRPr="00181D47">
              <w:rPr>
                <w:rFonts w:cs="Calibri"/>
                <w:szCs w:val="24"/>
              </w:rPr>
              <w:t>.2017</w:t>
            </w:r>
          </w:p>
        </w:tc>
        <w:tc>
          <w:tcPr>
            <w:tcW w:w="1815" w:type="dxa"/>
          </w:tcPr>
          <w:p w14:paraId="717BEF3C" w14:textId="77777777" w:rsidR="00CC5AFB" w:rsidRPr="00181D47" w:rsidRDefault="00CC5AFB" w:rsidP="00175A88">
            <w:pPr>
              <w:cnfStyle w:val="000000100000" w:firstRow="0" w:lastRow="0" w:firstColumn="0" w:lastColumn="0" w:oddVBand="0" w:evenVBand="0" w:oddHBand="1" w:evenHBand="0" w:firstRowFirstColumn="0" w:firstRowLastColumn="0" w:lastRowFirstColumn="0" w:lastRowLastColumn="0"/>
              <w:rPr>
                <w:rFonts w:cs="Calibri"/>
                <w:szCs w:val="24"/>
              </w:rPr>
            </w:pPr>
            <w:r w:rsidRPr="00181D47">
              <w:rPr>
                <w:rFonts w:cs="Calibri"/>
                <w:szCs w:val="24"/>
              </w:rPr>
              <w:t>Jane Lees – CEO</w:t>
            </w:r>
          </w:p>
        </w:tc>
        <w:tc>
          <w:tcPr>
            <w:tcW w:w="4904" w:type="dxa"/>
          </w:tcPr>
          <w:p w14:paraId="3A95CE9A" w14:textId="77777777" w:rsidR="00CC5AFB" w:rsidRPr="00181D47" w:rsidRDefault="00CC5AFB" w:rsidP="00175A88">
            <w:pPr>
              <w:cnfStyle w:val="000000100000" w:firstRow="0" w:lastRow="0" w:firstColumn="0" w:lastColumn="0" w:oddVBand="0" w:evenVBand="0" w:oddHBand="1" w:evenHBand="0" w:firstRowFirstColumn="0" w:firstRowLastColumn="0" w:lastRowFirstColumn="0" w:lastRowLastColumn="0"/>
              <w:rPr>
                <w:rFonts w:cs="Calibri"/>
                <w:szCs w:val="24"/>
              </w:rPr>
            </w:pPr>
            <w:r w:rsidRPr="00181D47">
              <w:rPr>
                <w:rFonts w:cs="Calibri"/>
                <w:szCs w:val="24"/>
              </w:rPr>
              <w:t>Development of policy with working group</w:t>
            </w:r>
          </w:p>
        </w:tc>
      </w:tr>
      <w:tr w:rsidR="00CC5AFB" w:rsidRPr="00181D47" w14:paraId="1912AF36" w14:textId="77777777" w:rsidTr="009938BC">
        <w:tc>
          <w:tcPr>
            <w:cnfStyle w:val="001000000000" w:firstRow="0" w:lastRow="0" w:firstColumn="1" w:lastColumn="0" w:oddVBand="0" w:evenVBand="0" w:oddHBand="0" w:evenHBand="0" w:firstRowFirstColumn="0" w:firstRowLastColumn="0" w:lastRowFirstColumn="0" w:lastRowLastColumn="0"/>
            <w:tcW w:w="986" w:type="dxa"/>
          </w:tcPr>
          <w:p w14:paraId="16F8493F" w14:textId="77777777" w:rsidR="00CC5AFB" w:rsidRPr="00181D47" w:rsidRDefault="00CC5AFB" w:rsidP="00175A88">
            <w:pPr>
              <w:rPr>
                <w:rFonts w:cs="Calibri"/>
                <w:szCs w:val="24"/>
              </w:rPr>
            </w:pPr>
            <w:r w:rsidRPr="00181D47">
              <w:rPr>
                <w:rFonts w:cs="Calibri"/>
                <w:szCs w:val="24"/>
              </w:rPr>
              <w:t>2.0</w:t>
            </w:r>
          </w:p>
        </w:tc>
        <w:tc>
          <w:tcPr>
            <w:tcW w:w="1311" w:type="dxa"/>
          </w:tcPr>
          <w:p w14:paraId="4E1EB400" w14:textId="46C71077" w:rsidR="00CC5AFB" w:rsidRPr="00181D47" w:rsidRDefault="00C165B1" w:rsidP="00175A88">
            <w:pP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23</w:t>
            </w:r>
            <w:r w:rsidR="00CC5AFB" w:rsidRPr="00181D47">
              <w:rPr>
                <w:rFonts w:cs="Calibri"/>
                <w:szCs w:val="24"/>
              </w:rPr>
              <w:t>.0</w:t>
            </w:r>
            <w:r>
              <w:rPr>
                <w:rFonts w:cs="Calibri"/>
                <w:szCs w:val="24"/>
              </w:rPr>
              <w:t>3</w:t>
            </w:r>
            <w:r w:rsidR="00CC5AFB" w:rsidRPr="00181D47">
              <w:rPr>
                <w:rFonts w:cs="Calibri"/>
                <w:szCs w:val="24"/>
              </w:rPr>
              <w:t>.2020</w:t>
            </w:r>
          </w:p>
        </w:tc>
        <w:tc>
          <w:tcPr>
            <w:tcW w:w="1815" w:type="dxa"/>
          </w:tcPr>
          <w:p w14:paraId="0AEC5419" w14:textId="09FFDE76" w:rsidR="00CC5AFB" w:rsidRPr="00181D47" w:rsidRDefault="00771AAE" w:rsidP="00175A88">
            <w:pPr>
              <w:cnfStyle w:val="000000000000" w:firstRow="0" w:lastRow="0" w:firstColumn="0" w:lastColumn="0" w:oddVBand="0" w:evenVBand="0" w:oddHBand="0" w:evenHBand="0" w:firstRowFirstColumn="0" w:firstRowLastColumn="0" w:lastRowFirstColumn="0" w:lastRowLastColumn="0"/>
              <w:rPr>
                <w:rFonts w:cs="Calibri"/>
                <w:szCs w:val="24"/>
              </w:rPr>
            </w:pPr>
            <w:r w:rsidRPr="00181D47">
              <w:rPr>
                <w:rFonts w:cs="Calibri"/>
                <w:szCs w:val="24"/>
              </w:rPr>
              <w:t>David</w:t>
            </w:r>
            <w:r>
              <w:rPr>
                <w:rFonts w:cs="Calibri"/>
                <w:szCs w:val="24"/>
              </w:rPr>
              <w:t xml:space="preserve"> Michal</w:t>
            </w:r>
            <w:r w:rsidRPr="00181D47">
              <w:rPr>
                <w:rFonts w:cs="Calibri"/>
                <w:szCs w:val="24"/>
              </w:rPr>
              <w:t xml:space="preserve"> Lipták – Director of Learning</w:t>
            </w:r>
          </w:p>
        </w:tc>
        <w:tc>
          <w:tcPr>
            <w:tcW w:w="4904" w:type="dxa"/>
          </w:tcPr>
          <w:p w14:paraId="2762EC5F" w14:textId="4EF5CD90" w:rsidR="00CC5AFB" w:rsidRPr="00181D47" w:rsidRDefault="00091668" w:rsidP="00175A88">
            <w:pP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 xml:space="preserve">Inclusion of Smart and Skilled </w:t>
            </w:r>
            <w:r w:rsidR="00F27BB9">
              <w:rPr>
                <w:rFonts w:cs="Calibri"/>
                <w:szCs w:val="24"/>
              </w:rPr>
              <w:t xml:space="preserve"> </w:t>
            </w:r>
          </w:p>
        </w:tc>
      </w:tr>
      <w:tr w:rsidR="00CC5AFB" w:rsidRPr="00181D47" w14:paraId="16163735" w14:textId="77777777" w:rsidTr="009938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14:paraId="7CD87505" w14:textId="77777777" w:rsidR="00CC5AFB" w:rsidRPr="00181D47" w:rsidRDefault="00CC5AFB" w:rsidP="00175A88">
            <w:pPr>
              <w:rPr>
                <w:rFonts w:cs="Calibri"/>
                <w:szCs w:val="24"/>
              </w:rPr>
            </w:pPr>
            <w:r w:rsidRPr="00181D47">
              <w:rPr>
                <w:rFonts w:cs="Calibri"/>
                <w:szCs w:val="24"/>
              </w:rPr>
              <w:t>3.0</w:t>
            </w:r>
          </w:p>
        </w:tc>
        <w:tc>
          <w:tcPr>
            <w:tcW w:w="1311" w:type="dxa"/>
          </w:tcPr>
          <w:p w14:paraId="170E28D2" w14:textId="791D3A52" w:rsidR="00CC5AFB" w:rsidRPr="00181D47" w:rsidRDefault="00ED3843" w:rsidP="00175A88">
            <w:pP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20</w:t>
            </w:r>
            <w:r w:rsidR="00CC5AFB" w:rsidRPr="00181D47">
              <w:rPr>
                <w:rFonts w:cs="Calibri"/>
                <w:szCs w:val="24"/>
              </w:rPr>
              <w:t>.0</w:t>
            </w:r>
            <w:r>
              <w:rPr>
                <w:rFonts w:cs="Calibri"/>
                <w:szCs w:val="24"/>
              </w:rPr>
              <w:t>3</w:t>
            </w:r>
            <w:r w:rsidR="00CC5AFB" w:rsidRPr="00181D47">
              <w:rPr>
                <w:rFonts w:cs="Calibri"/>
                <w:szCs w:val="24"/>
              </w:rPr>
              <w:t>.2023</w:t>
            </w:r>
          </w:p>
        </w:tc>
        <w:tc>
          <w:tcPr>
            <w:tcW w:w="1815" w:type="dxa"/>
          </w:tcPr>
          <w:p w14:paraId="1540B843" w14:textId="380615E8" w:rsidR="00CC5AFB" w:rsidRPr="00181D47" w:rsidRDefault="00771AAE" w:rsidP="00175A88">
            <w:pPr>
              <w:cnfStyle w:val="000000100000" w:firstRow="0" w:lastRow="0" w:firstColumn="0" w:lastColumn="0" w:oddVBand="0" w:evenVBand="0" w:oddHBand="1" w:evenHBand="0" w:firstRowFirstColumn="0" w:firstRowLastColumn="0" w:lastRowFirstColumn="0" w:lastRowLastColumn="0"/>
              <w:rPr>
                <w:rFonts w:cs="Calibri"/>
                <w:szCs w:val="24"/>
              </w:rPr>
            </w:pPr>
            <w:r w:rsidRPr="00181D47">
              <w:rPr>
                <w:rFonts w:cs="Calibri"/>
                <w:szCs w:val="24"/>
              </w:rPr>
              <w:t>David</w:t>
            </w:r>
            <w:r>
              <w:rPr>
                <w:rFonts w:cs="Calibri"/>
                <w:szCs w:val="24"/>
              </w:rPr>
              <w:t xml:space="preserve"> Michal</w:t>
            </w:r>
            <w:r w:rsidRPr="00181D47">
              <w:rPr>
                <w:rFonts w:cs="Calibri"/>
                <w:szCs w:val="24"/>
              </w:rPr>
              <w:t xml:space="preserve"> Lipták – Director of Learning</w:t>
            </w:r>
          </w:p>
        </w:tc>
        <w:tc>
          <w:tcPr>
            <w:tcW w:w="4904" w:type="dxa"/>
          </w:tcPr>
          <w:p w14:paraId="6EE9B01D" w14:textId="53429B01" w:rsidR="00CC5AFB" w:rsidRPr="00181D47" w:rsidRDefault="00091668" w:rsidP="00175A88">
            <w:pP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 xml:space="preserve">Update to LLND and Digital literacy </w:t>
            </w:r>
            <w:r w:rsidR="00771AAE">
              <w:rPr>
                <w:rFonts w:cs="Calibri"/>
                <w:szCs w:val="24"/>
              </w:rPr>
              <w:t>skills</w:t>
            </w:r>
          </w:p>
        </w:tc>
      </w:tr>
    </w:tbl>
    <w:p w14:paraId="2A623E21" w14:textId="79C0010A" w:rsidR="00CC5AFB" w:rsidRPr="00F530CC" w:rsidRDefault="00CC5AFB" w:rsidP="00771AAE">
      <w:pPr>
        <w:rPr>
          <w:rFonts w:eastAsia="Times New Roman" w:cs="Calibri"/>
          <w:kern w:val="0"/>
          <w:szCs w:val="24"/>
          <w:lang w:eastAsia="en-AU"/>
          <w14:ligatures w14:val="none"/>
        </w:rPr>
      </w:pPr>
      <w:r w:rsidRPr="00181D47">
        <w:rPr>
          <w:rFonts w:cs="Calibri"/>
          <w:b/>
          <w:bCs/>
          <w:color w:val="FF0000"/>
          <w:szCs w:val="24"/>
        </w:rPr>
        <w:t>End of Policy</w:t>
      </w:r>
    </w:p>
    <w:sectPr w:rsidR="00CC5AFB" w:rsidRPr="00F530CC" w:rsidSect="0087460A">
      <w:headerReference w:type="default" r:id="rId11"/>
      <w:footerReference w:type="default" r:id="rId12"/>
      <w:pgSz w:w="11906" w:h="16838"/>
      <w:pgMar w:top="1440" w:right="1440" w:bottom="1440" w:left="1440" w:header="113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5E18D" w14:textId="77777777" w:rsidR="0087460A" w:rsidRDefault="0087460A" w:rsidP="00CA794F">
      <w:pPr>
        <w:spacing w:after="0" w:line="240" w:lineRule="auto"/>
      </w:pPr>
      <w:r>
        <w:separator/>
      </w:r>
    </w:p>
  </w:endnote>
  <w:endnote w:type="continuationSeparator" w:id="0">
    <w:p w14:paraId="7E9FC934" w14:textId="77777777" w:rsidR="0087460A" w:rsidRDefault="0087460A" w:rsidP="00CA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Look w:val="04A0" w:firstRow="1" w:lastRow="0" w:firstColumn="1" w:lastColumn="0" w:noHBand="0" w:noVBand="1"/>
    </w:tblPr>
    <w:tblGrid>
      <w:gridCol w:w="3005"/>
      <w:gridCol w:w="3005"/>
      <w:gridCol w:w="3006"/>
    </w:tblGrid>
    <w:tr w:rsidR="00523E25" w:rsidRPr="00B76A3C" w14:paraId="1B9BED91" w14:textId="77777777" w:rsidTr="00175A88">
      <w:trPr>
        <w:jc w:val="center"/>
      </w:trPr>
      <w:tc>
        <w:tcPr>
          <w:tcW w:w="3005" w:type="dxa"/>
          <w:tcBorders>
            <w:top w:val="nil"/>
            <w:left w:val="nil"/>
            <w:bottom w:val="nil"/>
            <w:right w:val="nil"/>
          </w:tcBorders>
        </w:tcPr>
        <w:p w14:paraId="7A69F0EC" w14:textId="04E5B323" w:rsidR="00523E25" w:rsidRPr="00B76A3C" w:rsidRDefault="00A21DA5" w:rsidP="00523E25">
          <w:pPr>
            <w:pStyle w:val="Footer"/>
            <w:rPr>
              <w:b/>
              <w:bCs/>
              <w:sz w:val="14"/>
              <w:szCs w:val="14"/>
            </w:rPr>
          </w:pPr>
          <w:r w:rsidRPr="00A21DA5">
            <w:rPr>
              <w:b/>
              <w:bCs/>
              <w:color w:val="7030A0"/>
              <w:sz w:val="14"/>
              <w:szCs w:val="14"/>
            </w:rPr>
            <w:t>Reasonable Adjustment</w:t>
          </w:r>
          <w:r>
            <w:rPr>
              <w:b/>
              <w:bCs/>
              <w:color w:val="7030A0"/>
              <w:sz w:val="14"/>
              <w:szCs w:val="14"/>
            </w:rPr>
            <w:t xml:space="preserve"> and LLND Policy</w:t>
          </w:r>
        </w:p>
      </w:tc>
      <w:tc>
        <w:tcPr>
          <w:tcW w:w="3005" w:type="dxa"/>
          <w:tcBorders>
            <w:top w:val="nil"/>
            <w:left w:val="nil"/>
            <w:bottom w:val="nil"/>
            <w:right w:val="nil"/>
          </w:tcBorders>
        </w:tcPr>
        <w:p w14:paraId="4D4C9953" w14:textId="77777777" w:rsidR="00523E25" w:rsidRPr="00B76A3C" w:rsidRDefault="00523E25" w:rsidP="00523E25">
          <w:pPr>
            <w:pStyle w:val="Footer"/>
            <w:jc w:val="center"/>
            <w:rPr>
              <w:sz w:val="14"/>
              <w:szCs w:val="14"/>
            </w:rPr>
          </w:pPr>
          <w:r w:rsidRPr="00B76A3C">
            <w:rPr>
              <w:b/>
              <w:sz w:val="14"/>
              <w:szCs w:val="14"/>
            </w:rPr>
            <w:t>Version</w:t>
          </w:r>
          <w:r w:rsidRPr="00B76A3C">
            <w:rPr>
              <w:sz w:val="14"/>
              <w:szCs w:val="14"/>
            </w:rPr>
            <w:t xml:space="preserve">: </w:t>
          </w:r>
          <w:r>
            <w:rPr>
              <w:sz w:val="14"/>
              <w:szCs w:val="14"/>
            </w:rPr>
            <w:t>3.0</w:t>
          </w:r>
        </w:p>
      </w:tc>
      <w:tc>
        <w:tcPr>
          <w:tcW w:w="3006" w:type="dxa"/>
          <w:tcBorders>
            <w:top w:val="nil"/>
            <w:left w:val="nil"/>
            <w:bottom w:val="nil"/>
            <w:right w:val="nil"/>
          </w:tcBorders>
        </w:tcPr>
        <w:p w14:paraId="0EA2EE48" w14:textId="11ED5223" w:rsidR="00523E25" w:rsidRPr="00B76A3C" w:rsidRDefault="00523E25" w:rsidP="00523E25">
          <w:pPr>
            <w:pStyle w:val="Footer"/>
            <w:jc w:val="right"/>
            <w:rPr>
              <w:sz w:val="14"/>
              <w:szCs w:val="14"/>
            </w:rPr>
          </w:pPr>
          <w:r w:rsidRPr="00B76A3C">
            <w:rPr>
              <w:b/>
              <w:sz w:val="14"/>
              <w:szCs w:val="14"/>
            </w:rPr>
            <w:t>Created</w:t>
          </w:r>
          <w:r w:rsidRPr="00B76A3C">
            <w:rPr>
              <w:sz w:val="14"/>
              <w:szCs w:val="14"/>
            </w:rPr>
            <w:t xml:space="preserve">: </w:t>
          </w:r>
          <w:r w:rsidR="00771AAE">
            <w:rPr>
              <w:sz w:val="14"/>
              <w:szCs w:val="14"/>
            </w:rPr>
            <w:t>21.03</w:t>
          </w:r>
          <w:r w:rsidR="00952C5E">
            <w:rPr>
              <w:sz w:val="14"/>
              <w:szCs w:val="14"/>
            </w:rPr>
            <w:t>.</w:t>
          </w:r>
          <w:r>
            <w:rPr>
              <w:sz w:val="14"/>
              <w:szCs w:val="14"/>
            </w:rPr>
            <w:t>2017</w:t>
          </w:r>
        </w:p>
      </w:tc>
    </w:tr>
    <w:tr w:rsidR="00523E25" w:rsidRPr="00B76A3C" w14:paraId="46083F11" w14:textId="77777777" w:rsidTr="00175A88">
      <w:trPr>
        <w:jc w:val="center"/>
      </w:trPr>
      <w:tc>
        <w:tcPr>
          <w:tcW w:w="3005" w:type="dxa"/>
          <w:tcBorders>
            <w:top w:val="nil"/>
            <w:left w:val="nil"/>
            <w:bottom w:val="nil"/>
            <w:right w:val="nil"/>
          </w:tcBorders>
        </w:tcPr>
        <w:p w14:paraId="47F58A00" w14:textId="77777777" w:rsidR="00523E25" w:rsidRPr="00B76A3C" w:rsidRDefault="00523E25" w:rsidP="00523E25">
          <w:pPr>
            <w:pStyle w:val="Footer"/>
            <w:rPr>
              <w:sz w:val="14"/>
              <w:szCs w:val="14"/>
            </w:rPr>
          </w:pPr>
          <w:r w:rsidRPr="00B76A3C">
            <w:rPr>
              <w:b/>
              <w:sz w:val="14"/>
              <w:szCs w:val="14"/>
            </w:rPr>
            <w:t>National Training Masters © 202</w:t>
          </w:r>
          <w:r>
            <w:rPr>
              <w:b/>
              <w:sz w:val="14"/>
              <w:szCs w:val="14"/>
            </w:rPr>
            <w:t>4</w:t>
          </w:r>
        </w:p>
      </w:tc>
      <w:tc>
        <w:tcPr>
          <w:tcW w:w="3005" w:type="dxa"/>
          <w:tcBorders>
            <w:top w:val="nil"/>
            <w:left w:val="nil"/>
            <w:bottom w:val="nil"/>
            <w:right w:val="nil"/>
          </w:tcBorders>
        </w:tcPr>
        <w:p w14:paraId="31BBEFED" w14:textId="77777777" w:rsidR="00523E25" w:rsidRPr="00B76A3C" w:rsidRDefault="00523E25" w:rsidP="00523E25">
          <w:pPr>
            <w:pStyle w:val="Footer"/>
            <w:jc w:val="center"/>
            <w:rPr>
              <w:sz w:val="14"/>
              <w:szCs w:val="14"/>
            </w:rPr>
          </w:pPr>
          <w:r w:rsidRPr="00B76A3C">
            <w:rPr>
              <w:b/>
              <w:sz w:val="14"/>
              <w:szCs w:val="14"/>
            </w:rPr>
            <w:t xml:space="preserve">RTO Code: </w:t>
          </w:r>
          <w:r w:rsidRPr="00B76A3C">
            <w:rPr>
              <w:bCs/>
              <w:sz w:val="14"/>
              <w:szCs w:val="14"/>
            </w:rPr>
            <w:t>91284</w:t>
          </w:r>
        </w:p>
      </w:tc>
      <w:tc>
        <w:tcPr>
          <w:tcW w:w="3006" w:type="dxa"/>
          <w:tcBorders>
            <w:top w:val="nil"/>
            <w:left w:val="nil"/>
            <w:bottom w:val="nil"/>
            <w:right w:val="nil"/>
          </w:tcBorders>
        </w:tcPr>
        <w:p w14:paraId="11F02D58" w14:textId="1DAA7591" w:rsidR="00523E25" w:rsidRPr="00B76A3C" w:rsidRDefault="00523E25" w:rsidP="00523E25">
          <w:pPr>
            <w:pStyle w:val="Footer"/>
            <w:jc w:val="right"/>
            <w:rPr>
              <w:sz w:val="14"/>
              <w:szCs w:val="14"/>
            </w:rPr>
          </w:pPr>
          <w:r w:rsidRPr="00B76A3C">
            <w:rPr>
              <w:b/>
              <w:sz w:val="14"/>
              <w:szCs w:val="14"/>
            </w:rPr>
            <w:t>Modified</w:t>
          </w:r>
          <w:r w:rsidRPr="00B76A3C">
            <w:rPr>
              <w:sz w:val="14"/>
              <w:szCs w:val="14"/>
            </w:rPr>
            <w:t xml:space="preserve">: </w:t>
          </w:r>
          <w:r w:rsidR="00952C5E">
            <w:rPr>
              <w:sz w:val="14"/>
              <w:szCs w:val="14"/>
            </w:rPr>
            <w:t>20.03</w:t>
          </w:r>
          <w:r>
            <w:rPr>
              <w:sz w:val="14"/>
              <w:szCs w:val="14"/>
            </w:rPr>
            <w:t>.2023</w:t>
          </w:r>
          <w:r w:rsidRPr="00B76A3C">
            <w:rPr>
              <w:sz w:val="14"/>
              <w:szCs w:val="14"/>
            </w:rPr>
            <w:t xml:space="preserve"> </w:t>
          </w:r>
        </w:p>
      </w:tc>
    </w:tr>
    <w:tr w:rsidR="00523E25" w:rsidRPr="00B76A3C" w14:paraId="7C9CF7AE" w14:textId="77777777" w:rsidTr="00175A88">
      <w:trPr>
        <w:jc w:val="center"/>
      </w:trPr>
      <w:tc>
        <w:tcPr>
          <w:tcW w:w="3005" w:type="dxa"/>
          <w:tcBorders>
            <w:top w:val="nil"/>
            <w:left w:val="nil"/>
            <w:bottom w:val="nil"/>
            <w:right w:val="nil"/>
          </w:tcBorders>
        </w:tcPr>
        <w:p w14:paraId="45684E8F" w14:textId="52197ABD" w:rsidR="00523E25" w:rsidRPr="00A07CA8" w:rsidRDefault="00523E25" w:rsidP="00523E25">
          <w:pPr>
            <w:pStyle w:val="Footer"/>
            <w:rPr>
              <w:sz w:val="14"/>
              <w:szCs w:val="14"/>
            </w:rPr>
          </w:pPr>
          <w:r>
            <w:rPr>
              <w:b/>
              <w:bCs/>
              <w:color w:val="7030A0"/>
              <w:sz w:val="14"/>
              <w:szCs w:val="14"/>
            </w:rPr>
            <w:t>Document ID</w:t>
          </w:r>
          <w:r w:rsidRPr="00761BE2">
            <w:rPr>
              <w:sz w:val="14"/>
              <w:szCs w:val="14"/>
            </w:rPr>
            <w:t xml:space="preserve">: </w:t>
          </w:r>
          <w:r w:rsidR="00D51B3C">
            <w:rPr>
              <w:sz w:val="14"/>
              <w:szCs w:val="14"/>
            </w:rPr>
            <w:t>REAP</w:t>
          </w:r>
        </w:p>
      </w:tc>
      <w:tc>
        <w:tcPr>
          <w:tcW w:w="3005" w:type="dxa"/>
          <w:tcBorders>
            <w:top w:val="nil"/>
            <w:left w:val="nil"/>
            <w:bottom w:val="nil"/>
            <w:right w:val="nil"/>
          </w:tcBorders>
        </w:tcPr>
        <w:p w14:paraId="4D9AA68E" w14:textId="35E38BCE" w:rsidR="00523E25" w:rsidRPr="00B76A3C" w:rsidRDefault="00523E25" w:rsidP="00523E25">
          <w:pPr>
            <w:pStyle w:val="Footer"/>
            <w:jc w:val="center"/>
            <w:rPr>
              <w:sz w:val="14"/>
              <w:szCs w:val="14"/>
            </w:rPr>
          </w:pPr>
          <w:r w:rsidRPr="00B76A3C">
            <w:rPr>
              <w:b/>
              <w:sz w:val="14"/>
              <w:szCs w:val="14"/>
            </w:rPr>
            <w:t>Author</w:t>
          </w:r>
          <w:r w:rsidRPr="00B76A3C">
            <w:rPr>
              <w:bCs/>
              <w:sz w:val="14"/>
              <w:szCs w:val="14"/>
            </w:rPr>
            <w:t xml:space="preserve">: </w:t>
          </w:r>
          <w:r w:rsidR="00A21DA5">
            <w:rPr>
              <w:bCs/>
              <w:sz w:val="14"/>
              <w:szCs w:val="14"/>
            </w:rPr>
            <w:t>David Michal Lipták</w:t>
          </w:r>
        </w:p>
      </w:tc>
      <w:tc>
        <w:tcPr>
          <w:tcW w:w="3006" w:type="dxa"/>
          <w:tcBorders>
            <w:top w:val="nil"/>
            <w:left w:val="nil"/>
            <w:bottom w:val="nil"/>
            <w:right w:val="nil"/>
          </w:tcBorders>
        </w:tcPr>
        <w:p w14:paraId="40F470EC" w14:textId="77777777" w:rsidR="00523E25" w:rsidRPr="00B76A3C" w:rsidRDefault="00523E25" w:rsidP="00523E25">
          <w:pPr>
            <w:pStyle w:val="Footer"/>
            <w:jc w:val="right"/>
            <w:rPr>
              <w:sz w:val="14"/>
              <w:szCs w:val="14"/>
            </w:rPr>
          </w:pPr>
          <w:r w:rsidRPr="00B76A3C">
            <w:rPr>
              <w:b/>
              <w:sz w:val="14"/>
              <w:szCs w:val="14"/>
            </w:rPr>
            <w:t>Page:</w:t>
          </w:r>
          <w:r w:rsidRPr="00B76A3C">
            <w:rPr>
              <w:bCs/>
              <w:sz w:val="14"/>
              <w:szCs w:val="14"/>
            </w:rPr>
            <w:t xml:space="preserve"> </w:t>
          </w:r>
          <w:r w:rsidRPr="00B76A3C">
            <w:rPr>
              <w:bCs/>
              <w:sz w:val="14"/>
              <w:szCs w:val="14"/>
            </w:rPr>
            <w:fldChar w:fldCharType="begin"/>
          </w:r>
          <w:r w:rsidRPr="00B76A3C">
            <w:rPr>
              <w:bCs/>
              <w:sz w:val="14"/>
              <w:szCs w:val="14"/>
            </w:rPr>
            <w:instrText xml:space="preserve"> PAGE  \* Arabic  \* MERGEFORMAT </w:instrText>
          </w:r>
          <w:r w:rsidRPr="00B76A3C">
            <w:rPr>
              <w:bCs/>
              <w:sz w:val="14"/>
              <w:szCs w:val="14"/>
            </w:rPr>
            <w:fldChar w:fldCharType="separate"/>
          </w:r>
          <w:r>
            <w:rPr>
              <w:bCs/>
              <w:sz w:val="14"/>
              <w:szCs w:val="14"/>
            </w:rPr>
            <w:t>1</w:t>
          </w:r>
          <w:r w:rsidRPr="00B76A3C">
            <w:rPr>
              <w:bCs/>
              <w:sz w:val="14"/>
              <w:szCs w:val="14"/>
            </w:rPr>
            <w:fldChar w:fldCharType="end"/>
          </w:r>
          <w:r w:rsidRPr="00B76A3C">
            <w:rPr>
              <w:bCs/>
              <w:sz w:val="14"/>
              <w:szCs w:val="14"/>
            </w:rPr>
            <w:t xml:space="preserve"> of </w:t>
          </w:r>
          <w:r w:rsidRPr="00B76A3C">
            <w:rPr>
              <w:bCs/>
              <w:sz w:val="14"/>
              <w:szCs w:val="14"/>
            </w:rPr>
            <w:fldChar w:fldCharType="begin"/>
          </w:r>
          <w:r w:rsidRPr="00B76A3C">
            <w:rPr>
              <w:bCs/>
              <w:sz w:val="14"/>
              <w:szCs w:val="14"/>
            </w:rPr>
            <w:instrText xml:space="preserve"> NUMPAGES  \* Arabic  \* MERGEFORMAT </w:instrText>
          </w:r>
          <w:r w:rsidRPr="00B76A3C">
            <w:rPr>
              <w:bCs/>
              <w:sz w:val="14"/>
              <w:szCs w:val="14"/>
            </w:rPr>
            <w:fldChar w:fldCharType="separate"/>
          </w:r>
          <w:r>
            <w:rPr>
              <w:bCs/>
              <w:sz w:val="14"/>
              <w:szCs w:val="14"/>
            </w:rPr>
            <w:t>1</w:t>
          </w:r>
          <w:r w:rsidRPr="00B76A3C">
            <w:rPr>
              <w:bCs/>
              <w:sz w:val="14"/>
              <w:szCs w:val="14"/>
            </w:rPr>
            <w:fldChar w:fldCharType="end"/>
          </w:r>
          <w:r w:rsidRPr="00B76A3C">
            <w:rPr>
              <w:bCs/>
              <w:sz w:val="14"/>
              <w:szCs w:val="14"/>
            </w:rPr>
            <w:t xml:space="preserve"> </w:t>
          </w:r>
        </w:p>
      </w:tc>
    </w:tr>
  </w:tbl>
  <w:p w14:paraId="6613E2A0" w14:textId="77777777" w:rsidR="00523E25" w:rsidRDefault="00523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B3097" w14:textId="77777777" w:rsidR="0087460A" w:rsidRDefault="0087460A" w:rsidP="00CA794F">
      <w:pPr>
        <w:spacing w:after="0" w:line="240" w:lineRule="auto"/>
      </w:pPr>
      <w:r>
        <w:separator/>
      </w:r>
    </w:p>
  </w:footnote>
  <w:footnote w:type="continuationSeparator" w:id="0">
    <w:p w14:paraId="091EA8B0" w14:textId="77777777" w:rsidR="0087460A" w:rsidRDefault="0087460A" w:rsidP="00CA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4769" w14:textId="2B9C49F5" w:rsidR="00CA794F" w:rsidRPr="00CA794F" w:rsidRDefault="00CA794F">
    <w:pPr>
      <w:pStyle w:val="Header"/>
      <w:rPr>
        <w:rFonts w:cs="Calibri"/>
        <w:b/>
        <w:bCs/>
        <w:color w:val="008000"/>
        <w:sz w:val="36"/>
        <w:szCs w:val="36"/>
      </w:rPr>
    </w:pPr>
    <w:r w:rsidRPr="000506DC">
      <w:rPr>
        <w:rFonts w:cstheme="minorHAnsi"/>
        <w:b/>
        <w:noProof/>
        <w:color w:val="00B050"/>
        <w:sz w:val="36"/>
        <w:lang w:eastAsia="en-AU"/>
      </w:rPr>
      <w:drawing>
        <wp:anchor distT="0" distB="0" distL="114300" distR="114300" simplePos="0" relativeHeight="251659264" behindDoc="0" locked="0" layoutInCell="1" allowOverlap="1" wp14:anchorId="70C6738C" wp14:editId="410EDF14">
          <wp:simplePos x="0" y="0"/>
          <wp:positionH relativeFrom="column">
            <wp:posOffset>5168900</wp:posOffset>
          </wp:positionH>
          <wp:positionV relativeFrom="paragraph">
            <wp:posOffset>-451485</wp:posOffset>
          </wp:positionV>
          <wp:extent cx="819150" cy="757714"/>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tm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757714"/>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55AE6B3A" w14:textId="1D9BB6D9" w:rsidR="00CA794F" w:rsidRPr="008823AC" w:rsidRDefault="00CA794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18C5"/>
    <w:multiLevelType w:val="multilevel"/>
    <w:tmpl w:val="E1A065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57027C0"/>
    <w:multiLevelType w:val="multilevel"/>
    <w:tmpl w:val="5936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6596E"/>
    <w:multiLevelType w:val="multilevel"/>
    <w:tmpl w:val="259C5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78041FB"/>
    <w:multiLevelType w:val="hybridMultilevel"/>
    <w:tmpl w:val="FED2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61468B"/>
    <w:multiLevelType w:val="multilevel"/>
    <w:tmpl w:val="F9CA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87D87"/>
    <w:multiLevelType w:val="multilevel"/>
    <w:tmpl w:val="CE32E0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72276E6"/>
    <w:multiLevelType w:val="hybridMultilevel"/>
    <w:tmpl w:val="7E2AB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E22F86"/>
    <w:multiLevelType w:val="multilevel"/>
    <w:tmpl w:val="A36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55A7B"/>
    <w:multiLevelType w:val="multilevel"/>
    <w:tmpl w:val="06A8CD10"/>
    <w:lvl w:ilvl="0">
      <w:start w:val="1"/>
      <w:numFmt w:val="bullet"/>
      <w:lvlText w:val=""/>
      <w:lvlJc w:val="left"/>
      <w:pPr>
        <w:ind w:left="383" w:hanging="227"/>
      </w:pPr>
      <w:rPr>
        <w:rFonts w:ascii="Symbol" w:hAnsi="Symbol" w:hint="default"/>
        <w:b w:val="0"/>
        <w:bCs w:val="0"/>
        <w:w w:val="100"/>
        <w:sz w:val="19"/>
        <w:szCs w:val="19"/>
      </w:rPr>
    </w:lvl>
    <w:lvl w:ilvl="1">
      <w:numFmt w:val="bullet"/>
      <w:lvlText w:val="•"/>
      <w:lvlJc w:val="left"/>
      <w:pPr>
        <w:ind w:left="1272" w:hanging="227"/>
      </w:pPr>
    </w:lvl>
    <w:lvl w:ilvl="2">
      <w:numFmt w:val="bullet"/>
      <w:lvlText w:val="•"/>
      <w:lvlJc w:val="left"/>
      <w:pPr>
        <w:ind w:left="2165" w:hanging="227"/>
      </w:pPr>
    </w:lvl>
    <w:lvl w:ilvl="3">
      <w:numFmt w:val="bullet"/>
      <w:lvlText w:val="•"/>
      <w:lvlJc w:val="left"/>
      <w:pPr>
        <w:ind w:left="3057" w:hanging="227"/>
      </w:pPr>
    </w:lvl>
    <w:lvl w:ilvl="4">
      <w:numFmt w:val="bullet"/>
      <w:lvlText w:val="•"/>
      <w:lvlJc w:val="left"/>
      <w:pPr>
        <w:ind w:left="3950" w:hanging="227"/>
      </w:pPr>
    </w:lvl>
    <w:lvl w:ilvl="5">
      <w:numFmt w:val="bullet"/>
      <w:lvlText w:val="•"/>
      <w:lvlJc w:val="left"/>
      <w:pPr>
        <w:ind w:left="4842" w:hanging="227"/>
      </w:pPr>
    </w:lvl>
    <w:lvl w:ilvl="6">
      <w:numFmt w:val="bullet"/>
      <w:lvlText w:val="•"/>
      <w:lvlJc w:val="left"/>
      <w:pPr>
        <w:ind w:left="5735" w:hanging="227"/>
      </w:pPr>
    </w:lvl>
    <w:lvl w:ilvl="7">
      <w:numFmt w:val="bullet"/>
      <w:lvlText w:val="•"/>
      <w:lvlJc w:val="left"/>
      <w:pPr>
        <w:ind w:left="6627" w:hanging="227"/>
      </w:pPr>
    </w:lvl>
    <w:lvl w:ilvl="8">
      <w:numFmt w:val="bullet"/>
      <w:lvlText w:val="•"/>
      <w:lvlJc w:val="left"/>
      <w:pPr>
        <w:ind w:left="7520" w:hanging="227"/>
      </w:pPr>
    </w:lvl>
  </w:abstractNum>
  <w:abstractNum w:abstractNumId="9" w15:restartNumberingAfterBreak="0">
    <w:nsid w:val="4FE53D6E"/>
    <w:multiLevelType w:val="hybridMultilevel"/>
    <w:tmpl w:val="C0A6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D34E82"/>
    <w:multiLevelType w:val="hybridMultilevel"/>
    <w:tmpl w:val="42D44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5216C0"/>
    <w:multiLevelType w:val="hybridMultilevel"/>
    <w:tmpl w:val="09021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7243248">
    <w:abstractNumId w:val="2"/>
  </w:num>
  <w:num w:numId="2" w16cid:durableId="1891308725">
    <w:abstractNumId w:val="5"/>
  </w:num>
  <w:num w:numId="3" w16cid:durableId="1973747765">
    <w:abstractNumId w:val="0"/>
  </w:num>
  <w:num w:numId="4" w16cid:durableId="921522553">
    <w:abstractNumId w:val="8"/>
  </w:num>
  <w:num w:numId="5" w16cid:durableId="1530291256">
    <w:abstractNumId w:val="10"/>
  </w:num>
  <w:num w:numId="6" w16cid:durableId="1312833550">
    <w:abstractNumId w:val="4"/>
  </w:num>
  <w:num w:numId="7" w16cid:durableId="809440858">
    <w:abstractNumId w:val="7"/>
  </w:num>
  <w:num w:numId="8" w16cid:durableId="1619215695">
    <w:abstractNumId w:val="6"/>
  </w:num>
  <w:num w:numId="9" w16cid:durableId="1231118959">
    <w:abstractNumId w:val="3"/>
  </w:num>
  <w:num w:numId="10" w16cid:durableId="592711111">
    <w:abstractNumId w:val="9"/>
  </w:num>
  <w:num w:numId="11" w16cid:durableId="1463234487">
    <w:abstractNumId w:val="1"/>
  </w:num>
  <w:num w:numId="12" w16cid:durableId="1679575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AF"/>
    <w:rsid w:val="00036D30"/>
    <w:rsid w:val="00037EAE"/>
    <w:rsid w:val="00041C95"/>
    <w:rsid w:val="000467AF"/>
    <w:rsid w:val="000711DF"/>
    <w:rsid w:val="000739C4"/>
    <w:rsid w:val="0007470B"/>
    <w:rsid w:val="00076F66"/>
    <w:rsid w:val="00091668"/>
    <w:rsid w:val="0009314D"/>
    <w:rsid w:val="000A1C99"/>
    <w:rsid w:val="000A2230"/>
    <w:rsid w:val="000A6BDE"/>
    <w:rsid w:val="000B0987"/>
    <w:rsid w:val="000B4461"/>
    <w:rsid w:val="000B52C3"/>
    <w:rsid w:val="000C061B"/>
    <w:rsid w:val="000D22B3"/>
    <w:rsid w:val="000E1C00"/>
    <w:rsid w:val="000E7426"/>
    <w:rsid w:val="000E7ED4"/>
    <w:rsid w:val="000F2AB7"/>
    <w:rsid w:val="00103374"/>
    <w:rsid w:val="0010729B"/>
    <w:rsid w:val="00141669"/>
    <w:rsid w:val="00145379"/>
    <w:rsid w:val="00153073"/>
    <w:rsid w:val="0016069B"/>
    <w:rsid w:val="00170186"/>
    <w:rsid w:val="00173C57"/>
    <w:rsid w:val="00180F67"/>
    <w:rsid w:val="0018791D"/>
    <w:rsid w:val="0019129A"/>
    <w:rsid w:val="00195B71"/>
    <w:rsid w:val="001B3393"/>
    <w:rsid w:val="001B3D73"/>
    <w:rsid w:val="001B3F9B"/>
    <w:rsid w:val="001B5B09"/>
    <w:rsid w:val="001C0ED5"/>
    <w:rsid w:val="001C11C3"/>
    <w:rsid w:val="001C67C5"/>
    <w:rsid w:val="001D41BE"/>
    <w:rsid w:val="001D46B4"/>
    <w:rsid w:val="001E2727"/>
    <w:rsid w:val="001F5F8B"/>
    <w:rsid w:val="00203547"/>
    <w:rsid w:val="00211C09"/>
    <w:rsid w:val="00221419"/>
    <w:rsid w:val="00221A7A"/>
    <w:rsid w:val="00235B85"/>
    <w:rsid w:val="00241265"/>
    <w:rsid w:val="00241EF3"/>
    <w:rsid w:val="00245E10"/>
    <w:rsid w:val="00245EA2"/>
    <w:rsid w:val="00253BBE"/>
    <w:rsid w:val="00280BC3"/>
    <w:rsid w:val="00282A5E"/>
    <w:rsid w:val="00283FA0"/>
    <w:rsid w:val="002847AA"/>
    <w:rsid w:val="0029507B"/>
    <w:rsid w:val="002A015F"/>
    <w:rsid w:val="002A0374"/>
    <w:rsid w:val="002A2B2D"/>
    <w:rsid w:val="002A5B0B"/>
    <w:rsid w:val="002B781F"/>
    <w:rsid w:val="002D59D0"/>
    <w:rsid w:val="002D62DA"/>
    <w:rsid w:val="002E38C3"/>
    <w:rsid w:val="002E56CB"/>
    <w:rsid w:val="002E7593"/>
    <w:rsid w:val="002F1717"/>
    <w:rsid w:val="002F2A28"/>
    <w:rsid w:val="00303E37"/>
    <w:rsid w:val="00313A1D"/>
    <w:rsid w:val="00323478"/>
    <w:rsid w:val="00326609"/>
    <w:rsid w:val="0033536C"/>
    <w:rsid w:val="0034549F"/>
    <w:rsid w:val="003502C0"/>
    <w:rsid w:val="0035060C"/>
    <w:rsid w:val="003531B3"/>
    <w:rsid w:val="00357BF0"/>
    <w:rsid w:val="003600EF"/>
    <w:rsid w:val="00364C36"/>
    <w:rsid w:val="00367A8B"/>
    <w:rsid w:val="003728B0"/>
    <w:rsid w:val="00376C18"/>
    <w:rsid w:val="0039385E"/>
    <w:rsid w:val="003A5DE5"/>
    <w:rsid w:val="003B00FF"/>
    <w:rsid w:val="003C5526"/>
    <w:rsid w:val="003D24CF"/>
    <w:rsid w:val="003E3D51"/>
    <w:rsid w:val="003E6AB0"/>
    <w:rsid w:val="003E7CED"/>
    <w:rsid w:val="003F327F"/>
    <w:rsid w:val="004009BC"/>
    <w:rsid w:val="0040614D"/>
    <w:rsid w:val="004104AD"/>
    <w:rsid w:val="00412C12"/>
    <w:rsid w:val="00412E6D"/>
    <w:rsid w:val="0041713E"/>
    <w:rsid w:val="00420700"/>
    <w:rsid w:val="004332EC"/>
    <w:rsid w:val="00442FDF"/>
    <w:rsid w:val="004563E6"/>
    <w:rsid w:val="00457810"/>
    <w:rsid w:val="004619A2"/>
    <w:rsid w:val="00461A90"/>
    <w:rsid w:val="00476256"/>
    <w:rsid w:val="0047654D"/>
    <w:rsid w:val="00481067"/>
    <w:rsid w:val="00481C90"/>
    <w:rsid w:val="00482851"/>
    <w:rsid w:val="00485E28"/>
    <w:rsid w:val="004A1A75"/>
    <w:rsid w:val="004B318E"/>
    <w:rsid w:val="004B7D9B"/>
    <w:rsid w:val="004C14D1"/>
    <w:rsid w:val="004D2683"/>
    <w:rsid w:val="004D53E5"/>
    <w:rsid w:val="004D6CA4"/>
    <w:rsid w:val="004E25C1"/>
    <w:rsid w:val="004E2BD4"/>
    <w:rsid w:val="004F1DD2"/>
    <w:rsid w:val="00501F01"/>
    <w:rsid w:val="00504BB9"/>
    <w:rsid w:val="00513705"/>
    <w:rsid w:val="00520D40"/>
    <w:rsid w:val="00523E25"/>
    <w:rsid w:val="00541514"/>
    <w:rsid w:val="005436DF"/>
    <w:rsid w:val="00550157"/>
    <w:rsid w:val="00570BBE"/>
    <w:rsid w:val="00573B55"/>
    <w:rsid w:val="00581878"/>
    <w:rsid w:val="005918B8"/>
    <w:rsid w:val="005964FE"/>
    <w:rsid w:val="00596673"/>
    <w:rsid w:val="005B6F67"/>
    <w:rsid w:val="005D1577"/>
    <w:rsid w:val="005D327D"/>
    <w:rsid w:val="005D3F1F"/>
    <w:rsid w:val="005D5DDF"/>
    <w:rsid w:val="005F1FA7"/>
    <w:rsid w:val="005F27A7"/>
    <w:rsid w:val="006028A4"/>
    <w:rsid w:val="0062459E"/>
    <w:rsid w:val="006365E2"/>
    <w:rsid w:val="006409B6"/>
    <w:rsid w:val="00641063"/>
    <w:rsid w:val="006506F2"/>
    <w:rsid w:val="006720FB"/>
    <w:rsid w:val="00682DF0"/>
    <w:rsid w:val="0069282F"/>
    <w:rsid w:val="00695F47"/>
    <w:rsid w:val="00696103"/>
    <w:rsid w:val="006A55A9"/>
    <w:rsid w:val="006B6160"/>
    <w:rsid w:val="006B6D46"/>
    <w:rsid w:val="006C4D2F"/>
    <w:rsid w:val="006C72BA"/>
    <w:rsid w:val="00701AF5"/>
    <w:rsid w:val="00712EB8"/>
    <w:rsid w:val="00713965"/>
    <w:rsid w:val="00720A53"/>
    <w:rsid w:val="00722056"/>
    <w:rsid w:val="00722CF5"/>
    <w:rsid w:val="00723AC2"/>
    <w:rsid w:val="00734190"/>
    <w:rsid w:val="007348A9"/>
    <w:rsid w:val="00735B93"/>
    <w:rsid w:val="007448F3"/>
    <w:rsid w:val="007463B1"/>
    <w:rsid w:val="007467FD"/>
    <w:rsid w:val="007600B0"/>
    <w:rsid w:val="00765A48"/>
    <w:rsid w:val="00771AAE"/>
    <w:rsid w:val="00774DFD"/>
    <w:rsid w:val="00783A19"/>
    <w:rsid w:val="00793368"/>
    <w:rsid w:val="007B1334"/>
    <w:rsid w:val="007C6CAA"/>
    <w:rsid w:val="007D4AEB"/>
    <w:rsid w:val="007D7113"/>
    <w:rsid w:val="007E537F"/>
    <w:rsid w:val="007E5998"/>
    <w:rsid w:val="00800AD3"/>
    <w:rsid w:val="0080352B"/>
    <w:rsid w:val="008215C0"/>
    <w:rsid w:val="00821C94"/>
    <w:rsid w:val="0082465D"/>
    <w:rsid w:val="00831B2D"/>
    <w:rsid w:val="00836231"/>
    <w:rsid w:val="00840E9A"/>
    <w:rsid w:val="00844666"/>
    <w:rsid w:val="0084562A"/>
    <w:rsid w:val="00850245"/>
    <w:rsid w:val="00854E51"/>
    <w:rsid w:val="00861FF6"/>
    <w:rsid w:val="00863E98"/>
    <w:rsid w:val="00865EEE"/>
    <w:rsid w:val="00870D34"/>
    <w:rsid w:val="0087460A"/>
    <w:rsid w:val="008823AC"/>
    <w:rsid w:val="008902F0"/>
    <w:rsid w:val="008903E3"/>
    <w:rsid w:val="008A0EC2"/>
    <w:rsid w:val="008B422B"/>
    <w:rsid w:val="008C4BC6"/>
    <w:rsid w:val="008C60E3"/>
    <w:rsid w:val="008D4D5C"/>
    <w:rsid w:val="008D725F"/>
    <w:rsid w:val="008E0A1A"/>
    <w:rsid w:val="008E4E79"/>
    <w:rsid w:val="008E5234"/>
    <w:rsid w:val="008F0760"/>
    <w:rsid w:val="008F3554"/>
    <w:rsid w:val="00902846"/>
    <w:rsid w:val="009132ED"/>
    <w:rsid w:val="00913ED7"/>
    <w:rsid w:val="00916BEB"/>
    <w:rsid w:val="00917739"/>
    <w:rsid w:val="009217A8"/>
    <w:rsid w:val="00932DE3"/>
    <w:rsid w:val="009364CC"/>
    <w:rsid w:val="00937F0E"/>
    <w:rsid w:val="009507CA"/>
    <w:rsid w:val="00952C5E"/>
    <w:rsid w:val="00961B9B"/>
    <w:rsid w:val="00961E74"/>
    <w:rsid w:val="0096514C"/>
    <w:rsid w:val="0096538B"/>
    <w:rsid w:val="00966451"/>
    <w:rsid w:val="00971D73"/>
    <w:rsid w:val="00972A6F"/>
    <w:rsid w:val="00991D73"/>
    <w:rsid w:val="009938BC"/>
    <w:rsid w:val="00995A9E"/>
    <w:rsid w:val="009B5336"/>
    <w:rsid w:val="009B79F4"/>
    <w:rsid w:val="009C30A8"/>
    <w:rsid w:val="009D075B"/>
    <w:rsid w:val="009D0FB8"/>
    <w:rsid w:val="00A21DA5"/>
    <w:rsid w:val="00A25062"/>
    <w:rsid w:val="00A27FDD"/>
    <w:rsid w:val="00A461BA"/>
    <w:rsid w:val="00A54EA4"/>
    <w:rsid w:val="00A554BD"/>
    <w:rsid w:val="00A64EBC"/>
    <w:rsid w:val="00A677FD"/>
    <w:rsid w:val="00A74D4B"/>
    <w:rsid w:val="00A80B4E"/>
    <w:rsid w:val="00A85051"/>
    <w:rsid w:val="00A87F17"/>
    <w:rsid w:val="00A90157"/>
    <w:rsid w:val="00A916F2"/>
    <w:rsid w:val="00A94E0F"/>
    <w:rsid w:val="00A95FDE"/>
    <w:rsid w:val="00AA1869"/>
    <w:rsid w:val="00AA57D0"/>
    <w:rsid w:val="00AA7E7B"/>
    <w:rsid w:val="00AC2EFA"/>
    <w:rsid w:val="00AC400C"/>
    <w:rsid w:val="00AC7AE9"/>
    <w:rsid w:val="00AD03E9"/>
    <w:rsid w:val="00AD39E2"/>
    <w:rsid w:val="00AD5BA3"/>
    <w:rsid w:val="00AF0B5A"/>
    <w:rsid w:val="00B11E26"/>
    <w:rsid w:val="00B22E90"/>
    <w:rsid w:val="00B24BBF"/>
    <w:rsid w:val="00B31D9E"/>
    <w:rsid w:val="00B419FD"/>
    <w:rsid w:val="00B44985"/>
    <w:rsid w:val="00B4605E"/>
    <w:rsid w:val="00B7085F"/>
    <w:rsid w:val="00B735B9"/>
    <w:rsid w:val="00B75CA1"/>
    <w:rsid w:val="00B82309"/>
    <w:rsid w:val="00B83816"/>
    <w:rsid w:val="00B83968"/>
    <w:rsid w:val="00BA1108"/>
    <w:rsid w:val="00BA15E2"/>
    <w:rsid w:val="00BA308D"/>
    <w:rsid w:val="00BA35A3"/>
    <w:rsid w:val="00BA36AC"/>
    <w:rsid w:val="00BB3222"/>
    <w:rsid w:val="00BC067E"/>
    <w:rsid w:val="00BC5242"/>
    <w:rsid w:val="00BC5245"/>
    <w:rsid w:val="00BC6D97"/>
    <w:rsid w:val="00BD32E8"/>
    <w:rsid w:val="00BD4FAD"/>
    <w:rsid w:val="00BE33D2"/>
    <w:rsid w:val="00BF51C9"/>
    <w:rsid w:val="00C102C9"/>
    <w:rsid w:val="00C10BD8"/>
    <w:rsid w:val="00C16477"/>
    <w:rsid w:val="00C165B1"/>
    <w:rsid w:val="00C31CA7"/>
    <w:rsid w:val="00C32AA0"/>
    <w:rsid w:val="00C32CE3"/>
    <w:rsid w:val="00C36DF6"/>
    <w:rsid w:val="00C50993"/>
    <w:rsid w:val="00C53194"/>
    <w:rsid w:val="00C6086E"/>
    <w:rsid w:val="00C60F1E"/>
    <w:rsid w:val="00C63D4B"/>
    <w:rsid w:val="00C664B7"/>
    <w:rsid w:val="00C733C9"/>
    <w:rsid w:val="00C76F32"/>
    <w:rsid w:val="00C82E99"/>
    <w:rsid w:val="00C82F11"/>
    <w:rsid w:val="00CA794F"/>
    <w:rsid w:val="00CB6400"/>
    <w:rsid w:val="00CB647B"/>
    <w:rsid w:val="00CC0D42"/>
    <w:rsid w:val="00CC5AFB"/>
    <w:rsid w:val="00CD1817"/>
    <w:rsid w:val="00CE193C"/>
    <w:rsid w:val="00CE48D6"/>
    <w:rsid w:val="00CF0768"/>
    <w:rsid w:val="00D14552"/>
    <w:rsid w:val="00D163B4"/>
    <w:rsid w:val="00D2553F"/>
    <w:rsid w:val="00D42372"/>
    <w:rsid w:val="00D51B3C"/>
    <w:rsid w:val="00D60737"/>
    <w:rsid w:val="00D72B60"/>
    <w:rsid w:val="00D81C26"/>
    <w:rsid w:val="00D949DE"/>
    <w:rsid w:val="00DB0B39"/>
    <w:rsid w:val="00DB3D52"/>
    <w:rsid w:val="00DB4951"/>
    <w:rsid w:val="00DB5466"/>
    <w:rsid w:val="00DD0BA9"/>
    <w:rsid w:val="00DD4B8C"/>
    <w:rsid w:val="00DD6F92"/>
    <w:rsid w:val="00DE46B1"/>
    <w:rsid w:val="00DE55ED"/>
    <w:rsid w:val="00DE5D1C"/>
    <w:rsid w:val="00DF448A"/>
    <w:rsid w:val="00DF4977"/>
    <w:rsid w:val="00DF5952"/>
    <w:rsid w:val="00E1180D"/>
    <w:rsid w:val="00E17F1A"/>
    <w:rsid w:val="00E259F9"/>
    <w:rsid w:val="00E31E2A"/>
    <w:rsid w:val="00E34146"/>
    <w:rsid w:val="00E67618"/>
    <w:rsid w:val="00E92127"/>
    <w:rsid w:val="00E92C7C"/>
    <w:rsid w:val="00E95889"/>
    <w:rsid w:val="00E97DBC"/>
    <w:rsid w:val="00EA07F8"/>
    <w:rsid w:val="00EA30D0"/>
    <w:rsid w:val="00EA646B"/>
    <w:rsid w:val="00EB2DC2"/>
    <w:rsid w:val="00EB4C22"/>
    <w:rsid w:val="00EC150A"/>
    <w:rsid w:val="00EC5759"/>
    <w:rsid w:val="00EC7435"/>
    <w:rsid w:val="00ED0F0A"/>
    <w:rsid w:val="00ED3843"/>
    <w:rsid w:val="00ED3EA3"/>
    <w:rsid w:val="00ED587E"/>
    <w:rsid w:val="00ED6ACB"/>
    <w:rsid w:val="00EE2085"/>
    <w:rsid w:val="00F032D8"/>
    <w:rsid w:val="00F0457D"/>
    <w:rsid w:val="00F1449D"/>
    <w:rsid w:val="00F20331"/>
    <w:rsid w:val="00F20A9A"/>
    <w:rsid w:val="00F22CB4"/>
    <w:rsid w:val="00F23644"/>
    <w:rsid w:val="00F239E6"/>
    <w:rsid w:val="00F23C45"/>
    <w:rsid w:val="00F27BB9"/>
    <w:rsid w:val="00F40776"/>
    <w:rsid w:val="00F41F40"/>
    <w:rsid w:val="00F43402"/>
    <w:rsid w:val="00F530CC"/>
    <w:rsid w:val="00F542F9"/>
    <w:rsid w:val="00F7035B"/>
    <w:rsid w:val="00F75AAC"/>
    <w:rsid w:val="00F76F41"/>
    <w:rsid w:val="00FC676E"/>
    <w:rsid w:val="00FC78B0"/>
    <w:rsid w:val="00FD6DF7"/>
    <w:rsid w:val="00FF338C"/>
    <w:rsid w:val="00FF66D2"/>
    <w:rsid w:val="00FF6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0A2C3"/>
  <w15:chartTrackingRefBased/>
  <w15:docId w15:val="{89FB3851-BB5A-4979-AC9A-1BB47C7A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93"/>
    <w:rPr>
      <w:rFonts w:ascii="Calibri" w:hAnsi="Calibri"/>
      <w:sz w:val="24"/>
    </w:rPr>
  </w:style>
  <w:style w:type="paragraph" w:styleId="Heading1">
    <w:name w:val="heading 1"/>
    <w:basedOn w:val="Normal"/>
    <w:next w:val="Normal"/>
    <w:link w:val="Heading1Char"/>
    <w:uiPriority w:val="9"/>
    <w:qFormat/>
    <w:rsid w:val="00046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2AB7"/>
    <w:pPr>
      <w:keepNext/>
      <w:keepLines/>
      <w:spacing w:before="160" w:after="80"/>
      <w:outlineLvl w:val="1"/>
    </w:pPr>
    <w:rPr>
      <w:rFonts w:eastAsiaTheme="majorEastAsia" w:cstheme="majorBidi"/>
      <w:color w:val="3A7C22" w:themeColor="accent6" w:themeShade="BF"/>
      <w:sz w:val="32"/>
      <w:szCs w:val="32"/>
    </w:rPr>
  </w:style>
  <w:style w:type="paragraph" w:styleId="Heading3">
    <w:name w:val="heading 3"/>
    <w:basedOn w:val="Normal"/>
    <w:next w:val="Normal"/>
    <w:link w:val="Heading3Char"/>
    <w:uiPriority w:val="9"/>
    <w:unhideWhenUsed/>
    <w:qFormat/>
    <w:rsid w:val="00641063"/>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46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2AB7"/>
    <w:rPr>
      <w:rFonts w:ascii="Calibri" w:eastAsiaTheme="majorEastAsia" w:hAnsi="Calibri" w:cstheme="majorBidi"/>
      <w:color w:val="3A7C22" w:themeColor="accent6" w:themeShade="BF"/>
      <w:sz w:val="32"/>
      <w:szCs w:val="32"/>
    </w:rPr>
  </w:style>
  <w:style w:type="character" w:customStyle="1" w:styleId="Heading3Char">
    <w:name w:val="Heading 3 Char"/>
    <w:basedOn w:val="DefaultParagraphFont"/>
    <w:link w:val="Heading3"/>
    <w:uiPriority w:val="9"/>
    <w:rsid w:val="00641063"/>
    <w:rPr>
      <w:rFonts w:ascii="Calibri" w:eastAsiaTheme="majorEastAsia" w:hAnsi="Calibri" w:cstheme="majorBidi"/>
      <w:color w:val="0F4761" w:themeColor="accent1" w:themeShade="BF"/>
      <w:sz w:val="24"/>
      <w:szCs w:val="28"/>
    </w:rPr>
  </w:style>
  <w:style w:type="character" w:customStyle="1" w:styleId="Heading4Char">
    <w:name w:val="Heading 4 Char"/>
    <w:basedOn w:val="DefaultParagraphFont"/>
    <w:link w:val="Heading4"/>
    <w:uiPriority w:val="9"/>
    <w:semiHidden/>
    <w:rsid w:val="00046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7AF"/>
    <w:rPr>
      <w:rFonts w:eastAsiaTheme="majorEastAsia" w:cstheme="majorBidi"/>
      <w:color w:val="272727" w:themeColor="text1" w:themeTint="D8"/>
    </w:rPr>
  </w:style>
  <w:style w:type="paragraph" w:styleId="Title">
    <w:name w:val="Title"/>
    <w:basedOn w:val="Normal"/>
    <w:next w:val="Normal"/>
    <w:link w:val="TitleChar"/>
    <w:uiPriority w:val="10"/>
    <w:qFormat/>
    <w:rsid w:val="00046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7AF"/>
    <w:pPr>
      <w:spacing w:before="160"/>
      <w:jc w:val="center"/>
    </w:pPr>
    <w:rPr>
      <w:i/>
      <w:iCs/>
      <w:color w:val="404040" w:themeColor="text1" w:themeTint="BF"/>
    </w:rPr>
  </w:style>
  <w:style w:type="character" w:customStyle="1" w:styleId="QuoteChar">
    <w:name w:val="Quote Char"/>
    <w:basedOn w:val="DefaultParagraphFont"/>
    <w:link w:val="Quote"/>
    <w:uiPriority w:val="29"/>
    <w:rsid w:val="000467AF"/>
    <w:rPr>
      <w:i/>
      <w:iCs/>
      <w:color w:val="404040" w:themeColor="text1" w:themeTint="BF"/>
    </w:rPr>
  </w:style>
  <w:style w:type="paragraph" w:styleId="ListParagraph">
    <w:name w:val="List Paragraph"/>
    <w:basedOn w:val="Normal"/>
    <w:uiPriority w:val="1"/>
    <w:qFormat/>
    <w:rsid w:val="000467AF"/>
    <w:pPr>
      <w:ind w:left="720"/>
      <w:contextualSpacing/>
    </w:pPr>
  </w:style>
  <w:style w:type="character" w:styleId="IntenseEmphasis">
    <w:name w:val="Intense Emphasis"/>
    <w:basedOn w:val="DefaultParagraphFont"/>
    <w:uiPriority w:val="21"/>
    <w:qFormat/>
    <w:rsid w:val="000467AF"/>
    <w:rPr>
      <w:i/>
      <w:iCs/>
      <w:color w:val="0F4761" w:themeColor="accent1" w:themeShade="BF"/>
    </w:rPr>
  </w:style>
  <w:style w:type="paragraph" w:styleId="IntenseQuote">
    <w:name w:val="Intense Quote"/>
    <w:basedOn w:val="Normal"/>
    <w:next w:val="Normal"/>
    <w:link w:val="IntenseQuoteChar"/>
    <w:uiPriority w:val="30"/>
    <w:qFormat/>
    <w:rsid w:val="00046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7AF"/>
    <w:rPr>
      <w:i/>
      <w:iCs/>
      <w:color w:val="0F4761" w:themeColor="accent1" w:themeShade="BF"/>
    </w:rPr>
  </w:style>
  <w:style w:type="character" w:styleId="IntenseReference">
    <w:name w:val="Intense Reference"/>
    <w:basedOn w:val="DefaultParagraphFont"/>
    <w:uiPriority w:val="32"/>
    <w:qFormat/>
    <w:rsid w:val="000467AF"/>
    <w:rPr>
      <w:b/>
      <w:bCs/>
      <w:smallCaps/>
      <w:color w:val="0F4761" w:themeColor="accent1" w:themeShade="BF"/>
      <w:spacing w:val="5"/>
    </w:rPr>
  </w:style>
  <w:style w:type="paragraph" w:styleId="NormalWeb">
    <w:name w:val="Normal (Web)"/>
    <w:basedOn w:val="Normal"/>
    <w:uiPriority w:val="99"/>
    <w:semiHidden/>
    <w:unhideWhenUsed/>
    <w:rsid w:val="000467AF"/>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 w:type="character" w:styleId="Hyperlink">
    <w:name w:val="Hyperlink"/>
    <w:basedOn w:val="DefaultParagraphFont"/>
    <w:uiPriority w:val="99"/>
    <w:unhideWhenUsed/>
    <w:rsid w:val="000467AF"/>
    <w:rPr>
      <w:color w:val="0000FF"/>
      <w:u w:val="single"/>
    </w:rPr>
  </w:style>
  <w:style w:type="character" w:styleId="Strong">
    <w:name w:val="Strong"/>
    <w:basedOn w:val="DefaultParagraphFont"/>
    <w:uiPriority w:val="22"/>
    <w:qFormat/>
    <w:rsid w:val="000467AF"/>
    <w:rPr>
      <w:b/>
      <w:bCs/>
    </w:rPr>
  </w:style>
  <w:style w:type="paragraph" w:styleId="Header">
    <w:name w:val="header"/>
    <w:basedOn w:val="Normal"/>
    <w:link w:val="HeaderChar"/>
    <w:uiPriority w:val="99"/>
    <w:unhideWhenUsed/>
    <w:rsid w:val="00CA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94F"/>
  </w:style>
  <w:style w:type="paragraph" w:styleId="Footer">
    <w:name w:val="footer"/>
    <w:basedOn w:val="Normal"/>
    <w:link w:val="FooterChar"/>
    <w:uiPriority w:val="99"/>
    <w:unhideWhenUsed/>
    <w:rsid w:val="00CA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94F"/>
  </w:style>
  <w:style w:type="character" w:styleId="UnresolvedMention">
    <w:name w:val="Unresolved Mention"/>
    <w:basedOn w:val="DefaultParagraphFont"/>
    <w:uiPriority w:val="99"/>
    <w:semiHidden/>
    <w:unhideWhenUsed/>
    <w:rsid w:val="0062459E"/>
    <w:rPr>
      <w:color w:val="605E5C"/>
      <w:shd w:val="clear" w:color="auto" w:fill="E1DFDD"/>
    </w:rPr>
  </w:style>
  <w:style w:type="table" w:styleId="GridTable4-Accent6">
    <w:name w:val="Grid Table 4 Accent 6"/>
    <w:basedOn w:val="TableNormal"/>
    <w:uiPriority w:val="49"/>
    <w:rsid w:val="00CC5AFB"/>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
    <w:name w:val="Table Grid"/>
    <w:basedOn w:val="TableNormal"/>
    <w:uiPriority w:val="39"/>
    <w:rsid w:val="0052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DE55ED"/>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751909">
      <w:bodyDiv w:val="1"/>
      <w:marLeft w:val="0"/>
      <w:marRight w:val="0"/>
      <w:marTop w:val="0"/>
      <w:marBottom w:val="0"/>
      <w:divBdr>
        <w:top w:val="none" w:sz="0" w:space="0" w:color="auto"/>
        <w:left w:val="none" w:sz="0" w:space="0" w:color="auto"/>
        <w:bottom w:val="none" w:sz="0" w:space="0" w:color="auto"/>
        <w:right w:val="none" w:sz="0" w:space="0" w:color="auto"/>
      </w:divBdr>
    </w:div>
    <w:div w:id="574438531">
      <w:bodyDiv w:val="1"/>
      <w:marLeft w:val="0"/>
      <w:marRight w:val="0"/>
      <w:marTop w:val="0"/>
      <w:marBottom w:val="0"/>
      <w:divBdr>
        <w:top w:val="none" w:sz="0" w:space="0" w:color="auto"/>
        <w:left w:val="none" w:sz="0" w:space="0" w:color="auto"/>
        <w:bottom w:val="none" w:sz="0" w:space="0" w:color="auto"/>
        <w:right w:val="none" w:sz="0" w:space="0" w:color="auto"/>
      </w:divBdr>
    </w:div>
    <w:div w:id="733546555">
      <w:bodyDiv w:val="1"/>
      <w:marLeft w:val="0"/>
      <w:marRight w:val="0"/>
      <w:marTop w:val="0"/>
      <w:marBottom w:val="0"/>
      <w:divBdr>
        <w:top w:val="none" w:sz="0" w:space="0" w:color="auto"/>
        <w:left w:val="none" w:sz="0" w:space="0" w:color="auto"/>
        <w:bottom w:val="none" w:sz="0" w:space="0" w:color="auto"/>
        <w:right w:val="none" w:sz="0" w:space="0" w:color="auto"/>
      </w:divBdr>
    </w:div>
    <w:div w:id="878708492">
      <w:bodyDiv w:val="1"/>
      <w:marLeft w:val="0"/>
      <w:marRight w:val="0"/>
      <w:marTop w:val="0"/>
      <w:marBottom w:val="0"/>
      <w:divBdr>
        <w:top w:val="none" w:sz="0" w:space="0" w:color="auto"/>
        <w:left w:val="none" w:sz="0" w:space="0" w:color="auto"/>
        <w:bottom w:val="none" w:sz="0" w:space="0" w:color="auto"/>
        <w:right w:val="none" w:sz="0" w:space="0" w:color="auto"/>
      </w:divBdr>
    </w:div>
    <w:div w:id="11029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in@ntm.edu.au" TargetMode="External"/><Relationship Id="rId4" Type="http://schemas.openxmlformats.org/officeDocument/2006/relationships/styles" Target="styles.xml"/><Relationship Id="rId9" Type="http://schemas.openxmlformats.org/officeDocument/2006/relationships/hyperlink" Target="https://www.adcet.edu.au/o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8" ma:contentTypeDescription="Create a new document." ma:contentTypeScope="" ma:versionID="d5b60256d4a23bb6e30bb77d874fbee4">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6c8e550e424015e09e86ea63cc23a9b8"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8919F-2F2D-41B9-917C-6930862866E2}">
  <ds:schemaRefs>
    <ds:schemaRef ds:uri="http://schemas.microsoft.com/sharepoint/v3/contenttype/forms"/>
  </ds:schemaRefs>
</ds:datastoreItem>
</file>

<file path=customXml/itemProps2.xml><?xml version="1.0" encoding="utf-8"?>
<ds:datastoreItem xmlns:ds="http://schemas.openxmlformats.org/officeDocument/2006/customXml" ds:itemID="{84822DFD-F415-45D3-9514-F1D991258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7</Pages>
  <Words>1987</Words>
  <Characters>12504</Characters>
  <Application>Microsoft Office Word</Application>
  <DocSecurity>0</DocSecurity>
  <Lines>284</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Michal Lipták</dc:creator>
  <cp:keywords/>
  <dc:description/>
  <cp:lastModifiedBy>David Michal Lipták</cp:lastModifiedBy>
  <cp:revision>241</cp:revision>
  <cp:lastPrinted>2024-04-22T13:28:00Z</cp:lastPrinted>
  <dcterms:created xsi:type="dcterms:W3CDTF">2024-04-20T07:53:00Z</dcterms:created>
  <dcterms:modified xsi:type="dcterms:W3CDTF">2024-04-22T13:28:00Z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ac57bf23-243c-4bc2-9c52-4309b392178b</vt:lpwstr>
  </property>
</Properties>
</file>